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CBDF">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高平市2026年春季主要作物</w:t>
      </w:r>
    </w:p>
    <w:p w14:paraId="23A756AE">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施肥指导意见</w:t>
      </w:r>
    </w:p>
    <w:p w14:paraId="665884FE">
      <w:pPr>
        <w:pStyle w:val="13"/>
        <w:rPr>
          <w:rFonts w:hint="eastAsia"/>
        </w:rPr>
      </w:pPr>
    </w:p>
    <w:p w14:paraId="5BCE0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为加强科学施肥指导，</w:t>
      </w:r>
      <w:r>
        <w:rPr>
          <w:rFonts w:hint="eastAsia" w:ascii="仿宋_GB2312" w:hAnsi="仿宋_GB2312" w:eastAsia="仿宋_GB2312" w:cs="仿宋_GB2312"/>
          <w:sz w:val="32"/>
          <w:szCs w:val="32"/>
          <w:lang w:eastAsia="zh-CN"/>
        </w:rPr>
        <w:t>根据《山西省</w:t>
      </w:r>
      <w:r>
        <w:rPr>
          <w:rFonts w:hint="eastAsia" w:ascii="仿宋_GB2312" w:hAnsi="仿宋_GB2312" w:eastAsia="仿宋_GB2312" w:cs="仿宋_GB2312"/>
          <w:sz w:val="32"/>
          <w:szCs w:val="32"/>
          <w:lang w:val="en-US" w:eastAsia="zh-CN"/>
        </w:rPr>
        <w:t>2026年春季主要粮食作物施肥指导意见</w:t>
      </w:r>
      <w:r>
        <w:rPr>
          <w:rFonts w:hint="eastAsia" w:ascii="仿宋_GB2312" w:hAnsi="仿宋_GB2312" w:eastAsia="仿宋_GB2312" w:cs="仿宋_GB2312"/>
          <w:sz w:val="32"/>
          <w:szCs w:val="32"/>
          <w:lang w:eastAsia="zh-CN"/>
        </w:rPr>
        <w:t>》（晋农耕发〔2026〕2号）及《晋城市</w:t>
      </w:r>
      <w:r>
        <w:rPr>
          <w:rFonts w:hint="eastAsia" w:ascii="仿宋_GB2312" w:hAnsi="仿宋_GB2312" w:eastAsia="仿宋_GB2312" w:cs="仿宋_GB2312"/>
          <w:sz w:val="32"/>
          <w:szCs w:val="32"/>
          <w:lang w:val="en-US" w:eastAsia="zh-CN"/>
        </w:rPr>
        <w:t>2026年春季主要粮食作物施肥指导意见</w:t>
      </w:r>
      <w:r>
        <w:rPr>
          <w:rFonts w:hint="eastAsia" w:ascii="仿宋_GB2312" w:hAnsi="仿宋_GB2312" w:eastAsia="仿宋_GB2312" w:cs="仿宋_GB2312"/>
          <w:sz w:val="32"/>
          <w:szCs w:val="32"/>
          <w:lang w:eastAsia="zh-CN"/>
        </w:rPr>
        <w:t>》（晋市农（函）发〔2026〕</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号）文件精神，结合我市春季主要作物需肥规律，研究制定了我市</w:t>
      </w:r>
      <w:r>
        <w:rPr>
          <w:rFonts w:hint="eastAsia" w:ascii="仿宋_GB2312" w:hAnsi="仿宋_GB2312" w:eastAsia="仿宋_GB2312" w:cs="仿宋_GB2312"/>
          <w:sz w:val="32"/>
          <w:szCs w:val="32"/>
          <w:lang w:val="en-US" w:eastAsia="zh-CN"/>
        </w:rPr>
        <w:t>2026年主要作物施肥指导意见。</w:t>
      </w:r>
    </w:p>
    <w:p w14:paraId="3460C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冬小麦</w:t>
      </w:r>
    </w:p>
    <w:p w14:paraId="12EB4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24834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受</w:t>
      </w:r>
      <w:r>
        <w:rPr>
          <w:rFonts w:hint="eastAsia" w:ascii="仿宋_GB2312" w:hAnsi="仿宋_GB2312" w:eastAsia="仿宋_GB2312" w:cs="仿宋_GB2312"/>
          <w:sz w:val="32"/>
          <w:szCs w:val="32"/>
          <w:lang w:val="en-US" w:eastAsia="zh-CN"/>
        </w:rPr>
        <w:t>前一年秋汛</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冬小麦播期普遍延后，</w:t>
      </w:r>
      <w:r>
        <w:rPr>
          <w:rFonts w:hint="eastAsia" w:ascii="仿宋_GB2312" w:hAnsi="仿宋_GB2312" w:eastAsia="仿宋_GB2312" w:cs="仿宋_GB2312"/>
          <w:sz w:val="32"/>
          <w:szCs w:val="32"/>
          <w:lang w:val="en-US" w:eastAsia="zh-CN"/>
        </w:rPr>
        <w:t>多数麦田苗小、苗弱，今年春季以促弱转壮为目标，</w:t>
      </w:r>
      <w:r>
        <w:rPr>
          <w:rFonts w:hint="eastAsia" w:ascii="仿宋_GB2312" w:hAnsi="仿宋_GB2312" w:eastAsia="仿宋_GB2312" w:cs="仿宋_GB2312"/>
          <w:sz w:val="32"/>
          <w:szCs w:val="32"/>
        </w:rPr>
        <w:t>根据冬小麦苗情的长势和土壤墒情</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不同</w:t>
      </w:r>
      <w:r>
        <w:rPr>
          <w:rFonts w:hint="eastAsia" w:ascii="仿宋_GB2312" w:hAnsi="仿宋_GB2312" w:eastAsia="仿宋_GB2312" w:cs="仿宋_GB2312"/>
          <w:sz w:val="32"/>
          <w:szCs w:val="32"/>
        </w:rPr>
        <w:t>的施肥管理措施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促进苗情转化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有灌溉条件的地区</w:t>
      </w:r>
      <w:r>
        <w:rPr>
          <w:rFonts w:hint="eastAsia" w:ascii="仿宋_GB2312" w:hAnsi="仿宋_GB2312" w:eastAsia="仿宋_GB2312" w:cs="仿宋_GB2312"/>
          <w:sz w:val="32"/>
          <w:szCs w:val="32"/>
          <w:lang w:val="en-US" w:eastAsia="zh-CN"/>
        </w:rPr>
        <w:t>提倡采用喷灌、滴灌等肥水一体化技术。因时因地采用无人机或高秆喷雾机械进行叶面追肥，肥药同施、一喷三防。</w:t>
      </w:r>
    </w:p>
    <w:p w14:paraId="0CA8A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722A8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亩产200公斤</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的麦田，亩施氮肥（</w:t>
      </w:r>
      <w:r>
        <w:rPr>
          <w:rFonts w:hint="eastAsia" w:ascii="仿宋_GB2312" w:hAnsi="仿宋_GB2312" w:eastAsia="仿宋_GB2312" w:cs="仿宋_GB2312"/>
          <w:sz w:val="32"/>
          <w:szCs w:val="32"/>
          <w:lang w:val="en-US" w:eastAsia="zh-CN"/>
        </w:rPr>
        <w:t>N</w:t>
      </w:r>
      <w:r>
        <w:rPr>
          <w:rFonts w:hint="eastAsia" w:ascii="仿宋_GB2312" w:hAnsi="仿宋_GB2312" w:eastAsia="仿宋_GB2312" w:cs="仿宋_GB2312"/>
          <w:sz w:val="32"/>
          <w:szCs w:val="32"/>
        </w:rPr>
        <w:t>）6-8公斤，磷肥（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）5-6公斤，土壤速效钾含量</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120mg/kg</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地块适当补施钾肥，增施发酵腐熟农家肥2000公斤。亩产200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300公斤的麦田，亩施氮肥（N）8-9公斤，磷肥（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）6-7公斤，钾肥（K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rPr>
        <w:t>O）2-3公斤</w:t>
      </w:r>
      <w:r>
        <w:rPr>
          <w:rFonts w:hint="eastAsia" w:ascii="仿宋_GB2312" w:hAnsi="仿宋_GB2312" w:eastAsia="仿宋_GB2312" w:cs="仿宋_GB2312"/>
          <w:sz w:val="32"/>
          <w:szCs w:val="32"/>
          <w:lang w:eastAsia="zh-CN"/>
        </w:rPr>
        <w:t>，增</w:t>
      </w:r>
      <w:r>
        <w:rPr>
          <w:rFonts w:hint="eastAsia" w:ascii="仿宋_GB2312" w:hAnsi="仿宋_GB2312" w:eastAsia="仿宋_GB2312" w:cs="仿宋_GB2312"/>
          <w:sz w:val="32"/>
          <w:szCs w:val="32"/>
        </w:rPr>
        <w:t>施发酵腐熟农家肥3000公斤。亩产300公斤</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的麦田，亩施氮肥（N）10-12公斤，磷肥（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rPr>
        <w:t>）7-8公斤，钾肥（K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rPr>
        <w:t>O）3-5公斤</w:t>
      </w:r>
      <w:r>
        <w:rPr>
          <w:rFonts w:hint="eastAsia" w:ascii="仿宋_GB2312" w:hAnsi="仿宋_GB2312" w:eastAsia="仿宋_GB2312" w:cs="仿宋_GB2312"/>
          <w:sz w:val="32"/>
          <w:szCs w:val="32"/>
          <w:lang w:eastAsia="zh-CN"/>
        </w:rPr>
        <w:t>，增</w:t>
      </w:r>
      <w:r>
        <w:rPr>
          <w:rFonts w:hint="eastAsia" w:ascii="仿宋_GB2312" w:hAnsi="仿宋_GB2312" w:eastAsia="仿宋_GB2312" w:cs="仿宋_GB2312"/>
          <w:sz w:val="32"/>
          <w:szCs w:val="32"/>
        </w:rPr>
        <w:t>施发酵腐熟农家肥3000公斤以上。</w:t>
      </w:r>
    </w:p>
    <w:p w14:paraId="3146A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早春结合降水追肥或开沟施肥，亩施尿素</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公斤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缺磷田块可亩施磷酸二铵</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公斤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促进早返青、早生长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有灌溉条件的地区，水溶肥、液体肥可结合微喷灌少量多次水肥一体化施用，提高水肥利用效率。缺乏微量元素的地区，提倡结合“一喷三防”，在小麦拔节期、孕穗期和灌浆期喷施微量元素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缺锌或缺硼地区，可在返青到拔节期叶面喷施2-3次0.1%-0.2%的硫酸锌或硼砂溶液30-50公斤。且在小麦</w:t>
      </w:r>
      <w:r>
        <w:rPr>
          <w:rFonts w:hint="eastAsia" w:ascii="仿宋_GB2312" w:hAnsi="仿宋_GB2312" w:eastAsia="仿宋_GB2312" w:cs="仿宋_GB2312"/>
          <w:sz w:val="32"/>
          <w:szCs w:val="32"/>
        </w:rPr>
        <w:t>抽穗至乳熟期喷施0.3%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0.5%磷酸二氢钾1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2次，脱肥早衰的麦田可加喷</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%尿素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每次50公斤/亩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预防干热风和倒伏，提高灌浆强度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增加粒重。</w:t>
      </w:r>
    </w:p>
    <w:p w14:paraId="1B09B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春玉米</w:t>
      </w:r>
    </w:p>
    <w:p w14:paraId="6B05D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55773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必须与深松、增密等高产栽培技术结合。氮肥分次施用，重视钾肥施用，适当降低基肥用量，充分利用磷钾肥后效。高产地块和缺锌地块要注意增施锌肥，重视硫、硼等中微量元素施用。增加有机肥用量，加大秸秆还田力度。一次性施肥和地膜覆盖种植区，建议选用缓控释肥料。鼓励实行玉米和大豆间作，在满足玉米需肥时兼顾大豆氮、磷、钾需要。</w:t>
      </w:r>
    </w:p>
    <w:p w14:paraId="44342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5C5B4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1.玉米单作区</w:t>
      </w:r>
    </w:p>
    <w:p w14:paraId="4E586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（1）目标产量400-500公斤/亩地块，亩施氮肥（N）7-9公斤，磷肥（P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）4-5公斤，土壤速效钾含量小于120mg/kg的地块适当补施钾肥(K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O)2公斤/亩，亩施发酵腐熟农家肥1000公斤以上。目标产量500-650公斤/亩地块，亩施氮肥（N）9-12公斤，磷肥（P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O）2-3公斤，亩施发酵腐熟农家肥1500公斤以上。目标产量650-750公斤/亩地块，亩施氮肥（N）12-14公斤，磷肥（P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O）3-4公斤，亩施发酵腐熟农家肥2000公斤以上。目标产量750-850公斤/亩地块，亩施氮肥（N）14-18公斤，磷肥（P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）8-9公斤，钾肥（K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O）4-6公斤，亩施发酵腐熟农家肥2000公斤以上。目标产量850公斤/亩以上的地块，亩施氮肥（N）18-20公斤，磷肥（P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）9-11公斤，钾肥（K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O）6-8公斤，亩施发酵腐熟农家肥2000公斤以上。以上施肥方案可参考配方27-13-5（氮磷钾配比）从市场择优选购配方肥。</w:t>
      </w:r>
    </w:p>
    <w:p w14:paraId="62096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bookmarkStart w:id="0" w:name="_Hlk64962793"/>
      <w:r>
        <w:rPr>
          <w:rFonts w:hint="eastAsia" w:ascii="仿宋_GB2312" w:hAnsi="仿宋_GB2312" w:eastAsia="仿宋_GB2312" w:cs="仿宋_GB2312"/>
          <w:sz w:val="32"/>
          <w:szCs w:val="32"/>
          <w:lang w:val="en-US" w:eastAsia="zh-CN"/>
        </w:rPr>
        <w:t>（2）基肥和种肥施肥深度要达到15-20cm，追肥施肥深度要达到5-10cm。施足基肥，合理追肥。有机肥、磷、钾及中微量元素肥料均作基肥，氮肥则分期施用。氮肥60%-70%底施、30%-40%追施，在质地偏砂、保肥性能差的土壤，追肥的用量可占氮肥总用量的50%左右。</w:t>
      </w:r>
    </w:p>
    <w:bookmarkEnd w:id="0"/>
    <w:p w14:paraId="44D63B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2.大豆玉米带状间作种植区</w:t>
      </w:r>
    </w:p>
    <w:p w14:paraId="18AF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（1）玉米亩施肥量参照单作产量水平下施肥标准，须保证玉米单株施氮量与清种相同。大豆不施氮肥或施低氮量复合肥。</w:t>
      </w:r>
    </w:p>
    <w:p w14:paraId="19C9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用一次性施肥技术的地块，玉米区施用高氮缓控释肥（如28-10-7或相近配方），大豆区施用大豆专用低氮配方肥（如14-20-14或相近配方）。在施用化肥基础上，配合施用腐熟有机肥1000-2000公斤/亩，结合整地作基肥施入，在播种期将玉米所需全部缓控释肥料作种肥施入，每亩施用40-50公斤（折合纯氮每亩14-18公斤），肥料在玉米带两侧15-25cm处开沟施入。大豆所需肥料作种肥施入，每亩施用15-20公斤，播种时在大豆带内行间开沟施入土层。</w:t>
      </w:r>
    </w:p>
    <w:p w14:paraId="00088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施缓控释肥的地块，可采用基肥、种肥与追肥三段式施肥，基肥以低氮复合肥（如14-17-14或相近配方）与有机肥结合，用氮量以大豆需氮量为上限（每亩不超过4公斤纯氮），每亩施用15-20公斤，结合整地深翻施入。播种时仅对玉米施种肥，选用玉米专用复合肥（如28-10-7或相近配方）40-50公斤（折合纯氮每亩10-14公斤）。在玉米大喇叭口期长势较弱玉米可利用简易式追肥器在玉米两侧每亩追施尿素15-20公斤。</w:t>
      </w:r>
    </w:p>
    <w:p w14:paraId="59BD4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（4）播种前对大豆进行包衣或菌剂拌种处理。</w:t>
      </w:r>
    </w:p>
    <w:p w14:paraId="75C95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、春大豆</w:t>
      </w:r>
    </w:p>
    <w:p w14:paraId="7A120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040E8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肥料施用应与高产优质栽培技术相结合，合理施用氮磷肥，增施有机肥，实施秸秆还田。提倡进行根瘤菌剂拌种以及钼、硼等微量元素补充。前茬玉米区域要减少氮肥施用量。</w:t>
      </w:r>
    </w:p>
    <w:p w14:paraId="18C7E2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25190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1.产量在100公斤/亩以下的地块，亩施氮肥（N）2-3公斤、磷肥（P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）2-3公斤、钾肥(K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O)1-2公斤。产量在100-130公斤/亩的地块，亩施氮肥（N）3-4公斤、磷肥（P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O)2-3公斤。产量在150公斤/亩以上的地块，亩施氮肥（N）4公斤、磷肥（P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O)2-4公斤。</w:t>
      </w:r>
    </w:p>
    <w:p w14:paraId="537C3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长势，可在开花期、结荚期或鼓粒期追施氮肥；不追肥田块基肥中40%以上的氮肥选用缓控释型。后期脱肥可喷施0.5%-2%尿素溶液1-2次。土壤肥力较高，基肥、种肥充足，大豆生长健壮的地块，可不追肥，但应防止徒长倒伏。</w:t>
      </w:r>
    </w:p>
    <w:p w14:paraId="4FE38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3.推荐使用钼酸铵和根瘤菌剂拌种。拌种时用0.05%-0.1%的钼酸铵或钼酸钠溶液与根瘤菌剂混合后拌种，阴干后播种。在大豆花期，叶面喷施浓度为0.2%的钼酸铵溶液1-2次，每次40-50公斤/亩。</w:t>
      </w:r>
    </w:p>
    <w:p w14:paraId="4F563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4.在施用化肥基础上，配合施用腐熟有机肥1000-2000公斤/亩。有机肥作基肥施用时，随整地施入土壤。种肥推荐采用侧深施肥，施肥位置在种子侧方6-8cm，种子下方5-8cm。</w:t>
      </w:r>
    </w:p>
    <w:p w14:paraId="31575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四、马铃薯</w:t>
      </w:r>
    </w:p>
    <w:p w14:paraId="5807C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6ADA3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根据测土配方施肥结果和目标产量，确定氮磷钾肥合理用量，增施有机肥。肥料施用应重施基肥，轻用种肥；基肥为主，追肥为辅。合理施用氮磷肥，适当增施钾肥。具备滴灌和喷灌等条件的地块，可实施水肥一体化技术。</w:t>
      </w:r>
    </w:p>
    <w:p w14:paraId="59CBE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596DB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1.目标产量在1000-1500公斤/亩的地块，亩施氮肥（N）5-7公斤、磷肥（P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）3-4.5公斤、钾肥(K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O)5-7公斤，亩施发酵腐熟农家肥1500-2000公斤。目标产量在1500-2000公斤/亩的地块，亩施氮肥（N）7-8公斤、磷肥（P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O)8-10公斤，亩施发酵腐熟农家肥2000-2500公斤。目标产量在2000公斤/亩以上的地块，亩施氮肥（N）8-10公斤、磷肥（P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O)10-12公斤，亩施发酵腐熟农家肥2500公斤以上。</w:t>
      </w:r>
    </w:p>
    <w:p w14:paraId="798B5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肥全部作基肥。氮肥总量的60%-70%作基肥，30%-40%作追肥。钾肥总量的70%-80%作基肥，20%-30%作追肥。如果施用单质磷肥，和有机肥混合沤制后施用。基肥可以在秋季或春季结合耕地沟施或撒施后翻入土中。马铃薯追肥一般在开花以前进行，早熟品种在苗期追肥，中晚熟品种在现蕾前追肥。</w:t>
      </w:r>
    </w:p>
    <w:p w14:paraId="0BCA2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.控释肥一次性施用</w:t>
      </w:r>
      <w:r>
        <w:rPr>
          <w:rFonts w:hint="eastAsia" w:ascii="仿宋_GB2312" w:hAnsi="仿宋_GB2312" w:eastAsia="仿宋_GB2312" w:cs="仿宋_GB2312"/>
          <w:sz w:val="32"/>
          <w:szCs w:val="32"/>
          <w:lang w:val="en-US" w:eastAsia="zh-CN"/>
        </w:rPr>
        <w:t>时，</w:t>
      </w:r>
      <w:r>
        <w:rPr>
          <w:rFonts w:hint="default" w:ascii="仿宋_GB2312" w:hAnsi="仿宋_GB2312" w:eastAsia="仿宋_GB2312" w:cs="仿宋_GB2312"/>
          <w:sz w:val="32"/>
          <w:szCs w:val="32"/>
          <w:lang w:val="en-US" w:eastAsia="zh-CN"/>
        </w:rPr>
        <w:t>不建议施用含氯较多的肥料。缺硼或缺锌土壤，可基施硼砂1公斤/亩或硫酸锌1公斤/亩。</w:t>
      </w:r>
    </w:p>
    <w:p w14:paraId="061953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五</w:t>
      </w:r>
      <w:r>
        <w:rPr>
          <w:rFonts w:hint="eastAsia" w:ascii="黑体" w:hAnsi="黑体" w:eastAsia="黑体" w:cs="黑体"/>
          <w:sz w:val="32"/>
          <w:szCs w:val="32"/>
          <w:lang w:val="en-US" w:eastAsia="zh-CN"/>
        </w:rPr>
        <w:t>、春谷子</w:t>
      </w:r>
    </w:p>
    <w:p w14:paraId="65C696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5800E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化肥用量根据目标产量和土壤养分情况来确定，在土壤钾素和硼素相对缺乏地区，要注意钾肥、硼肥的施用。适当增施有机肥，有机无机相结合。氮肥施用坚持“基肥为主，追肥为辅”的原则。一次性施肥和地膜覆盖种植区，建议选用缓控释肥料。</w:t>
      </w:r>
    </w:p>
    <w:p w14:paraId="7C55C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2333D8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1.目标产量在200公斤/亩以下的地块，亩施氮肥（N）5-8公斤、磷肥（P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）3-4公斤，亩施发酵腐熟农家肥1000公斤以上。目标产量在200-300公斤/亩的地块，亩施氮肥（N）用量推荐为8-10公斤、磷肥（P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）4-5公斤、钾肥(K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O)1-3公斤，亩施发酵腐熟农家肥1500公斤以上。目标产量在300公斤/亩以上的地块，亩施氮肥（N）10-13公斤、磷肥（P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）5-7公斤、钾肥(K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O)3-5公斤，亩施发酵腐熟农家肥2000公斤以上。</w:t>
      </w:r>
    </w:p>
    <w:p w14:paraId="11061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2.有机肥、磷钾肥和中微量元素肥料作基肥一次性施用。氮肥施用根据产量水平进行，中产田氮肥70%作基肥施用，30%在拔节后期作追肥施用；高产田氮肥60%作基肥施用，40%在拔节后期作追肥施用。</w:t>
      </w:r>
    </w:p>
    <w:p w14:paraId="228AE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3.在谷子孕穗期每亩用0.25-0.5公斤硼砂和0.25-0.5公斤磷酸二氢钾、0.5-1公斤尿素兑水50公斤，进行叶面喷施。</w:t>
      </w:r>
    </w:p>
    <w:p w14:paraId="6A42B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六</w:t>
      </w:r>
      <w:r>
        <w:rPr>
          <w:rFonts w:hint="eastAsia" w:ascii="黑体" w:hAnsi="黑体" w:eastAsia="黑体" w:cs="黑体"/>
          <w:sz w:val="32"/>
          <w:szCs w:val="32"/>
          <w:lang w:val="en-US" w:eastAsia="zh-CN"/>
        </w:rPr>
        <w:t>、高粱</w:t>
      </w:r>
    </w:p>
    <w:p w14:paraId="51B4A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（一）施肥原则</w:t>
      </w:r>
    </w:p>
    <w:p w14:paraId="40F3A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施用应与高产优质栽培技术相结合。根据目标产量和土壤养分情况，确定氮磷肥合理用量，增施有机肥，开展秸秆还田。合理施用氮磷肥，适当增施钾肥。重施基肥，轻用种肥；基肥为主，追肥为辅。追肥重点放在拔节期。</w:t>
      </w:r>
    </w:p>
    <w:p w14:paraId="76F88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（二）施肥建议</w:t>
      </w:r>
    </w:p>
    <w:p w14:paraId="177A8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1.目标产量在500-600公斤/亩的地块，亩施氮肥（N）7-9公斤、磷肥（P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）3-5公斤、钾肥(K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O)2-3公斤，亩施发酵腐熟农家肥2000公斤以上。目标产量在600-700公斤/亩的地块，亩施氮肥（N）9-12公斤、磷肥（P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）5-6公斤、钾肥(K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O)3-4公斤，亩施发酵腐熟农家肥3000公斤以上。目标产量在700公斤/亩以上的地块，亩施氮肥（N）12-14公斤、磷肥（P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eastAsia" w:ascii="仿宋_GB2312" w:hAnsi="仿宋_GB2312" w:eastAsia="仿宋_GB2312" w:cs="仿宋_GB2312"/>
          <w:sz w:val="32"/>
          <w:szCs w:val="32"/>
          <w:lang w:val="en-US" w:eastAsia="zh-CN"/>
        </w:rPr>
        <w:t>）6-8公斤、钾肥(K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O)4-5公斤，亩施发酵腐熟农家肥3000公斤以上。</w:t>
      </w:r>
    </w:p>
    <w:p w14:paraId="6E4A7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2.有机肥、磷、钾均作基肥，氮肥分期施用，氮肥60%-70%基施、30%-40%在抽穗前追施。质地偏砂、保肥性能差的土壤，追施氮肥量应占总施氮量的50％左右。基施深度为15-20cm，追施深度为5-10cm。</w:t>
      </w:r>
    </w:p>
    <w:p w14:paraId="565C5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七、红薯</w:t>
      </w:r>
    </w:p>
    <w:p w14:paraId="2BB94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（一）施肥原则</w:t>
      </w:r>
    </w:p>
    <w:p w14:paraId="47770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肥料施用应与高产优质栽培技术相结合。根据测土配方施肥结果和目标产量，确定氮磷钾肥合理用量，适当增施钾肥，并注意增施有机肥，实现有机无机配合施用。肥料施用应基追结合，以基肥为主，追肥为辅。</w:t>
      </w:r>
    </w:p>
    <w:p w14:paraId="30797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（二）施肥建议</w:t>
      </w:r>
    </w:p>
    <w:p w14:paraId="560758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sectPr>
          <w:footerReference r:id="rId3" w:type="default"/>
          <w:pgSz w:w="11910" w:h="16840"/>
          <w:pgMar w:top="2098" w:right="1474" w:bottom="1984" w:left="1587" w:header="0" w:footer="1610" w:gutter="0"/>
          <w:pgNumType w:fmt="numberInDash" w:start="2"/>
          <w:cols w:space="720" w:num="1"/>
          <w:rtlGutter w:val="0"/>
          <w:docGrid w:type="lines" w:linePitch="439" w:charSpace="0"/>
        </w:sectPr>
      </w:pPr>
      <w:r>
        <w:rPr>
          <w:rFonts w:hint="default" w:ascii="仿宋_GB2312" w:hAnsi="仿宋_GB2312" w:eastAsia="仿宋_GB2312" w:cs="仿宋_GB2312"/>
          <w:sz w:val="32"/>
          <w:szCs w:val="32"/>
          <w:lang w:val="en-US" w:eastAsia="zh-CN"/>
        </w:rPr>
        <w:t>1.目标产量在2000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2500公斤</w:t>
      </w:r>
      <w:r>
        <w:rPr>
          <w:rFonts w:hint="eastAsia" w:ascii="仿宋_GB2312" w:hAnsi="仿宋_GB2312" w:eastAsia="仿宋_GB2312" w:cs="仿宋_GB2312"/>
          <w:sz w:val="32"/>
          <w:szCs w:val="32"/>
          <w:lang w:val="en-US" w:eastAsia="zh-CN"/>
        </w:rPr>
        <w:t>/亩</w:t>
      </w:r>
      <w:r>
        <w:rPr>
          <w:rFonts w:hint="default" w:ascii="仿宋_GB2312" w:hAnsi="仿宋_GB2312" w:eastAsia="仿宋_GB2312" w:cs="仿宋_GB2312"/>
          <w:sz w:val="32"/>
          <w:szCs w:val="32"/>
          <w:lang w:val="en-US" w:eastAsia="zh-CN"/>
        </w:rPr>
        <w:t>的地块，亩施氮肥（N）7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6公斤、钾肥（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12公斤，每亩基施发酵腐熟的农家肥2000-3000公斤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目标产量在2500公斤以上的地块，亩施氮肥（N）9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12公斤，磷肥（</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钾</w:t>
      </w:r>
    </w:p>
    <w:p w14:paraId="30E1DBC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15公斤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每亩基施发酵腐熟农家肥3000公斤</w:t>
      </w:r>
      <w:r>
        <w:rPr>
          <w:rFonts w:hint="eastAsia" w:ascii="仿宋_GB2312" w:hAnsi="仿宋_GB2312" w:eastAsia="仿宋_GB2312" w:cs="仿宋_GB2312"/>
          <w:sz w:val="32"/>
          <w:szCs w:val="32"/>
          <w:lang w:val="en-US" w:eastAsia="zh-CN"/>
        </w:rPr>
        <w:t>以上。</w:t>
      </w:r>
    </w:p>
    <w:p w14:paraId="0D8C8C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.有机肥、磷钾肥均作基肥，氮肥60%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70%基施、30%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40%在苗期或团棵期追施，基肥的施用可分两次进行，50%的基肥可在春季或秋季结合耕地沟施或撒施后翻入土壤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其余50%基肥可在起垄时集中施在垄底或在栽插时进行穴施。茎叶盛长期、茎叶衰退期（裂痕期）可分别叶面喷施0.3%磷酸二氢钾1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lang w:val="en-US" w:eastAsia="zh-CN"/>
        </w:rPr>
        <w:t>。</w:t>
      </w:r>
    </w:p>
    <w:p w14:paraId="009DBD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果树（以苹果、梨为例）</w:t>
      </w:r>
    </w:p>
    <w:p w14:paraId="4B87BD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（一）施肥原则</w:t>
      </w:r>
    </w:p>
    <w:p w14:paraId="35E4EB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肥料施用应坚持有机无机相结合、大量微量</w:t>
      </w:r>
      <w:r>
        <w:rPr>
          <w:rFonts w:hint="eastAsia" w:ascii="仿宋_GB2312" w:hAnsi="仿宋_GB2312" w:eastAsia="仿宋_GB2312" w:cs="仿宋_GB2312"/>
          <w:sz w:val="32"/>
          <w:szCs w:val="32"/>
          <w:lang w:val="en-US" w:eastAsia="zh-CN"/>
        </w:rPr>
        <w:t>元素</w:t>
      </w:r>
      <w:r>
        <w:rPr>
          <w:rFonts w:hint="default"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lang w:val="en-US" w:eastAsia="zh-CN"/>
        </w:rPr>
        <w:t>配合</w:t>
      </w:r>
      <w:r>
        <w:rPr>
          <w:rFonts w:hint="default" w:ascii="仿宋_GB2312" w:hAnsi="仿宋_GB2312" w:eastAsia="仿宋_GB2312" w:cs="仿宋_GB2312"/>
          <w:sz w:val="32"/>
          <w:szCs w:val="32"/>
          <w:lang w:val="en-US" w:eastAsia="zh-CN"/>
        </w:rPr>
        <w:t>。根据作物需肥规律与土壤供肥特性，有机肥与化肥配合施用，重视增施有机肥；氮磷钾肥配合施用，大量元素与微量元素协同搭配。注重施肥方式优化，土壤</w:t>
      </w:r>
      <w:r>
        <w:rPr>
          <w:rFonts w:hint="eastAsia" w:ascii="仿宋_GB2312" w:hAnsi="仿宋_GB2312" w:eastAsia="仿宋_GB2312" w:cs="仿宋_GB2312"/>
          <w:sz w:val="32"/>
          <w:szCs w:val="32"/>
          <w:lang w:val="en-US" w:eastAsia="zh-CN"/>
        </w:rPr>
        <w:t>施用</w:t>
      </w:r>
      <w:r>
        <w:rPr>
          <w:rFonts w:hint="default" w:ascii="仿宋_GB2312" w:hAnsi="仿宋_GB2312" w:eastAsia="仿宋_GB2312" w:cs="仿宋_GB2312"/>
          <w:sz w:val="32"/>
          <w:szCs w:val="32"/>
          <w:lang w:val="en-US" w:eastAsia="zh-CN"/>
        </w:rPr>
        <w:t>与根外喷施相结合，实现养分均衡供应。</w:t>
      </w:r>
    </w:p>
    <w:p w14:paraId="5A07C9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（二）施肥建议</w:t>
      </w:r>
    </w:p>
    <w:p w14:paraId="626FC2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成龄果园一般亩施氮肥（N）12.5公斤，磷肥（P</w:t>
      </w:r>
      <w:r>
        <w:rPr>
          <w:rFonts w:hint="eastAsia" w:ascii="仿宋_GB2312" w:hAnsi="仿宋_GB2312" w:eastAsia="仿宋_GB2312" w:cs="仿宋_GB2312"/>
          <w:sz w:val="32"/>
          <w:szCs w:val="32"/>
          <w:vertAlign w:val="subscript"/>
          <w:lang w:val="en-US" w:eastAsia="zh-CN"/>
        </w:rPr>
        <w:t>5</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vertAlign w:val="subscript"/>
          <w:lang w:val="en-US" w:eastAsia="zh-CN"/>
        </w:rPr>
        <w:t>2</w:t>
      </w:r>
      <w:r>
        <w:rPr>
          <w:rFonts w:hint="default" w:ascii="仿宋_GB2312" w:hAnsi="仿宋_GB2312" w:eastAsia="仿宋_GB2312" w:cs="仿宋_GB2312"/>
          <w:sz w:val="32"/>
          <w:szCs w:val="32"/>
          <w:lang w:val="en-US" w:eastAsia="zh-CN"/>
        </w:rPr>
        <w:t>）5公斤，钾肥（</w:t>
      </w:r>
      <w:r>
        <w:rPr>
          <w:rFonts w:hint="eastAsia" w:ascii="仿宋_GB2312" w:hAnsi="仿宋_GB2312" w:eastAsia="仿宋_GB2312" w:cs="仿宋_GB2312"/>
          <w:sz w:val="32"/>
          <w:szCs w:val="32"/>
          <w:lang w:val="en-US" w:eastAsia="zh-CN"/>
        </w:rPr>
        <w:t>K</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O</w:t>
      </w:r>
      <w:r>
        <w:rPr>
          <w:rFonts w:hint="default" w:ascii="仿宋_GB2312" w:hAnsi="仿宋_GB2312" w:eastAsia="仿宋_GB2312" w:cs="仿宋_GB2312"/>
          <w:sz w:val="32"/>
          <w:szCs w:val="32"/>
          <w:lang w:val="en-US" w:eastAsia="zh-CN"/>
        </w:rPr>
        <w:t>）15公斤。换算成实物量，15-8-18的复合肥约85公斤。可选择氮磷钾配比为17-10-18或相近配方的</w:t>
      </w:r>
      <w:bookmarkStart w:id="1" w:name="_GoBack"/>
      <w:bookmarkEnd w:id="1"/>
      <w:r>
        <w:rPr>
          <w:rFonts w:hint="default" w:ascii="仿宋_GB2312" w:hAnsi="仿宋_GB2312" w:eastAsia="仿宋_GB2312" w:cs="仿宋_GB2312"/>
          <w:sz w:val="32"/>
          <w:szCs w:val="32"/>
          <w:lang w:val="en-US" w:eastAsia="zh-CN"/>
        </w:rPr>
        <w:t>硫基复合肥，低</w:t>
      </w:r>
      <w:r>
        <w:rPr>
          <w:rFonts w:hint="eastAsia" w:ascii="仿宋_GB2312" w:hAnsi="仿宋_GB2312" w:eastAsia="仿宋_GB2312" w:cs="仿宋_GB2312"/>
          <w:sz w:val="32"/>
          <w:szCs w:val="32"/>
          <w:lang w:val="en-US" w:eastAsia="zh-CN"/>
        </w:rPr>
        <w:t>龄</w:t>
      </w:r>
      <w:r>
        <w:rPr>
          <w:rFonts w:hint="default" w:ascii="仿宋_GB2312" w:hAnsi="仿宋_GB2312" w:eastAsia="仿宋_GB2312" w:cs="仿宋_GB2312"/>
          <w:sz w:val="32"/>
          <w:szCs w:val="32"/>
          <w:lang w:val="en-US" w:eastAsia="zh-CN"/>
        </w:rPr>
        <w:t>果园可选择配比为15-15-15或相近配方的硫基复合肥。也可以用过磷酸钙、钙镁磷肥、硫酸钾、硝酸磷肥、尿素等肥料品种搭配施用。增施优质腐熟的农家肥，亩施2000-2500公斤。锌、铁等微量元素可根据缺素表现在病虫害防治时叶面喷施。</w:t>
      </w:r>
    </w:p>
    <w:p w14:paraId="18AF0E78"/>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2234">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CEE0A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1CEE0A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60BBE"/>
    <w:rsid w:val="0D475DD6"/>
    <w:rsid w:val="0D4D75F3"/>
    <w:rsid w:val="0E243E31"/>
    <w:rsid w:val="428C7414"/>
    <w:rsid w:val="5F060DF3"/>
    <w:rsid w:val="623644AE"/>
    <w:rsid w:val="6AFC1413"/>
    <w:rsid w:val="6F5E6145"/>
    <w:rsid w:val="7FE6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 w:hAnsi="Times New Roman" w:eastAsia="仿宋"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next w:val="1"/>
    <w:qFormat/>
    <w:uiPriority w:val="0"/>
    <w:pPr>
      <w:widowControl/>
      <w:jc w:val="left"/>
    </w:pPr>
    <w:rPr>
      <w:rFonts w:ascii="宋体" w:hAnsi="宋体" w:cs="宋体"/>
      <w:kern w:val="0"/>
      <w:sz w:val="24"/>
    </w:rPr>
  </w:style>
  <w:style w:type="paragraph" w:customStyle="1" w:styleId="7">
    <w:name w:val="样式1"/>
    <w:basedOn w:val="1"/>
    <w:qFormat/>
    <w:uiPriority w:val="0"/>
    <w:pPr>
      <w:spacing w:line="560" w:lineRule="exact"/>
    </w:pPr>
    <w:rPr>
      <w:rFonts w:hint="eastAsia" w:ascii="仿宋_GB2312" w:hAnsi="仿宋_GB2312" w:eastAsia="仿宋_GB2312"/>
      <w:sz w:val="32"/>
      <w:szCs w:val="32"/>
    </w:rPr>
  </w:style>
  <w:style w:type="paragraph" w:customStyle="1" w:styleId="8">
    <w:name w:val="出文格式正文"/>
    <w:uiPriority w:val="0"/>
    <w:pPr>
      <w:spacing w:line="560" w:lineRule="exact"/>
      <w:ind w:firstLine="420" w:firstLineChars="200"/>
      <w:jc w:val="both"/>
    </w:pPr>
    <w:rPr>
      <w:rFonts w:eastAsia="仿宋_GB2312" w:asciiTheme="minorAscii" w:hAnsiTheme="minorAscii" w:cstheme="minorBidi"/>
      <w:sz w:val="32"/>
    </w:rPr>
  </w:style>
  <w:style w:type="paragraph" w:customStyle="1" w:styleId="9">
    <w:name w:val="出文格式题目"/>
    <w:qFormat/>
    <w:uiPriority w:val="0"/>
    <w:pPr>
      <w:spacing w:line="720" w:lineRule="exact"/>
      <w:jc w:val="center"/>
    </w:pPr>
    <w:rPr>
      <w:rFonts w:eastAsia="方正小标宋简体" w:asciiTheme="minorAscii" w:hAnsiTheme="minorAscii" w:cstheme="minorBidi"/>
      <w:sz w:val="44"/>
    </w:rPr>
  </w:style>
  <w:style w:type="paragraph" w:customStyle="1" w:styleId="10">
    <w:name w:val="出文格式一级标题"/>
    <w:qFormat/>
    <w:uiPriority w:val="0"/>
    <w:pPr>
      <w:spacing w:line="560" w:lineRule="atLeast"/>
      <w:jc w:val="both"/>
    </w:pPr>
    <w:rPr>
      <w:rFonts w:eastAsia="黑体" w:asciiTheme="minorAscii" w:hAnsiTheme="minorAscii" w:cstheme="minorBidi"/>
      <w:sz w:val="32"/>
    </w:rPr>
  </w:style>
  <w:style w:type="paragraph" w:customStyle="1" w:styleId="11">
    <w:name w:val="出文格式二级标题"/>
    <w:uiPriority w:val="0"/>
    <w:pPr>
      <w:spacing w:line="560" w:lineRule="exact"/>
      <w:jc w:val="both"/>
    </w:pPr>
    <w:rPr>
      <w:rFonts w:eastAsia="楷体_GB2312" w:asciiTheme="minorAscii" w:hAnsiTheme="minorAscii" w:cstheme="minorBidi"/>
      <w:b/>
    </w:rPr>
  </w:style>
  <w:style w:type="paragraph" w:customStyle="1" w:styleId="12">
    <w:name w:val="出文格式三级标题"/>
    <w:qFormat/>
    <w:uiPriority w:val="0"/>
    <w:pPr>
      <w:spacing w:line="560" w:lineRule="exact"/>
      <w:jc w:val="both"/>
    </w:pPr>
    <w:rPr>
      <w:rFonts w:eastAsia="仿宋_GB2312" w:asciiTheme="minorAscii" w:hAnsiTheme="minorAscii" w:cstheme="minorBidi"/>
      <w:sz w:val="32"/>
    </w:rPr>
  </w:style>
  <w:style w:type="paragraph" w:customStyle="1" w:styleId="13">
    <w:name w:val="正文首行缩进 21"/>
    <w:basedOn w:val="14"/>
    <w:next w:val="4"/>
    <w:qFormat/>
    <w:uiPriority w:val="0"/>
    <w:pPr>
      <w:ind w:left="200" w:leftChars="200" w:firstLine="200" w:firstLineChars="200"/>
    </w:pPr>
  </w:style>
  <w:style w:type="paragraph" w:customStyle="1" w:styleId="14">
    <w:name w:val="正文文本缩进1"/>
    <w:basedOn w:val="1"/>
    <w:qFormat/>
    <w:uiPriority w:val="0"/>
    <w:pPr>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4203</Words>
  <Characters>5030</Characters>
  <Lines>0</Lines>
  <Paragraphs>0</Paragraphs>
  <TotalTime>1</TotalTime>
  <ScaleCrop>false</ScaleCrop>
  <LinksUpToDate>false</LinksUpToDate>
  <CharactersWithSpaces>5030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2026-04-09T02:18:00Z</dcterms:created>
  <dc:creator>超人不会飞</dc:creator>
  <cp:lastModifiedBy>WPS_1669085731</cp:lastModifiedBy>
  <dcterms:modified xsi:type="dcterms:W3CDTF">2026-04-10T09:37:10Z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FA0F98FBF447427EA918BA596BB160FF_11</vt:lpwstr>
  </property>
  <property fmtid="{D5CDD505-2E9C-101B-9397-08002B2CF9AE}" pid="4" name="KSOTemplateDocerSaveRecord">
    <vt:lpwstr>eyJoZGlkIjoiNzRhN2Y2MWU0ODc5NTAwOTBjOWExZWFmNzEzYzFjYjMiLCJ1c2VySWQiOiIxNDQ1Njk0MjYwIn0=</vt:lpwstr>
  </property>
</Properties>
</file>