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DCBB4">
      <w:pPr>
        <w:jc w:val="center"/>
        <w:rPr>
          <w:rFonts w:hint="eastAsia" w:ascii="黑体" w:hAnsi="黑体" w:eastAsia="黑体" w:cs="Times New Roman"/>
          <w:sz w:val="36"/>
          <w:szCs w:val="36"/>
        </w:rPr>
      </w:pPr>
    </w:p>
    <w:p w14:paraId="1491DDF9">
      <w:pPr>
        <w:jc w:val="center"/>
        <w:rPr>
          <w:rFonts w:hint="eastAsia" w:ascii="黑体" w:hAnsi="黑体" w:eastAsia="黑体" w:cs="Times New Roman"/>
          <w:sz w:val="36"/>
          <w:szCs w:val="36"/>
        </w:rPr>
      </w:pPr>
    </w:p>
    <w:p w14:paraId="44D29FD8">
      <w:pPr>
        <w:jc w:val="center"/>
        <w:rPr>
          <w:rFonts w:ascii="黑体" w:hAnsi="黑体" w:eastAsia="黑体" w:cs="Times New Roman"/>
          <w:sz w:val="36"/>
          <w:szCs w:val="36"/>
        </w:rPr>
      </w:pPr>
      <w:r>
        <w:rPr>
          <w:rFonts w:hint="eastAsia" w:ascii="黑体" w:hAnsi="黑体" w:eastAsia="黑体" w:cs="Times New Roman"/>
          <w:sz w:val="36"/>
          <w:szCs w:val="36"/>
        </w:rPr>
        <w:t>中国重要农业文化遗产</w:t>
      </w:r>
    </w:p>
    <w:p w14:paraId="5F4B0B1E">
      <w:pPr>
        <w:jc w:val="center"/>
        <w:rPr>
          <w:rFonts w:ascii="方正小标宋简体" w:hAnsi="仿宋" w:eastAsia="方正小标宋简体"/>
          <w:sz w:val="40"/>
          <w:szCs w:val="40"/>
        </w:rPr>
      </w:pPr>
    </w:p>
    <w:p w14:paraId="5CF65C15">
      <w:pPr>
        <w:jc w:val="center"/>
        <w:rPr>
          <w:rFonts w:ascii="方正小标宋简体" w:hAnsi="仿宋" w:eastAsia="方正小标宋简体"/>
          <w:sz w:val="40"/>
          <w:szCs w:val="40"/>
        </w:rPr>
      </w:pPr>
    </w:p>
    <w:p w14:paraId="723777D4">
      <w:pPr>
        <w:jc w:val="center"/>
        <w:rPr>
          <w:rFonts w:ascii="方正小标宋简体" w:hAnsi="仿宋" w:eastAsia="方正小标宋简体"/>
          <w:sz w:val="40"/>
          <w:szCs w:val="40"/>
        </w:rPr>
      </w:pPr>
    </w:p>
    <w:p w14:paraId="54FCF6ED">
      <w:pPr>
        <w:jc w:val="center"/>
        <w:rPr>
          <w:rFonts w:ascii="方正小标宋简体" w:hAnsi="仿宋" w:eastAsia="方正小标宋简体"/>
          <w:sz w:val="40"/>
          <w:szCs w:val="40"/>
        </w:rPr>
      </w:pPr>
    </w:p>
    <w:p w14:paraId="2A175CF4">
      <w:pPr>
        <w:jc w:val="center"/>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山西高平黄梨栽培</w:t>
      </w:r>
      <w:r>
        <w:rPr>
          <w:rFonts w:hint="eastAsia" w:ascii="方正小标宋简体" w:hAnsi="仿宋" w:eastAsia="方正小标宋简体"/>
          <w:sz w:val="44"/>
          <w:szCs w:val="44"/>
        </w:rPr>
        <w:t>系统</w:t>
      </w:r>
    </w:p>
    <w:p w14:paraId="5D55BB34">
      <w:pPr>
        <w:jc w:val="center"/>
        <w:rPr>
          <w:rFonts w:ascii="方正小标宋简体" w:hAnsi="仿宋" w:eastAsia="方正小标宋简体"/>
          <w:sz w:val="44"/>
          <w:szCs w:val="44"/>
        </w:rPr>
      </w:pPr>
      <w:r>
        <w:rPr>
          <w:rFonts w:hint="eastAsia" w:ascii="方正小标宋简体" w:hAnsi="仿宋" w:eastAsia="方正小标宋简体"/>
          <w:sz w:val="44"/>
          <w:szCs w:val="44"/>
        </w:rPr>
        <w:t>传承发展三年行动计划</w:t>
      </w:r>
    </w:p>
    <w:p w14:paraId="3152A646">
      <w:pPr>
        <w:jc w:val="center"/>
        <w:rPr>
          <w:rFonts w:ascii="仿宋" w:hAnsi="仿宋" w:eastAsia="仿宋"/>
          <w:sz w:val="32"/>
          <w:szCs w:val="32"/>
        </w:rPr>
      </w:pPr>
    </w:p>
    <w:p w14:paraId="4AC18D71">
      <w:pPr>
        <w:jc w:val="center"/>
        <w:rPr>
          <w:rFonts w:ascii="黑体" w:hAnsi="黑体" w:eastAsia="黑体" w:cs="Times New Roman"/>
          <w:sz w:val="36"/>
          <w:szCs w:val="36"/>
        </w:rPr>
      </w:pPr>
      <w:r>
        <w:rPr>
          <w:rFonts w:ascii="黑体" w:hAnsi="黑体" w:eastAsia="黑体" w:cs="Times New Roman"/>
          <w:sz w:val="36"/>
          <w:szCs w:val="36"/>
        </w:rPr>
        <w:t>（2026-2028年）</w:t>
      </w:r>
    </w:p>
    <w:p w14:paraId="7E5C02DC">
      <w:pPr>
        <w:jc w:val="center"/>
        <w:rPr>
          <w:rFonts w:ascii="仿宋" w:hAnsi="仿宋" w:eastAsia="仿宋"/>
          <w:sz w:val="32"/>
          <w:szCs w:val="32"/>
        </w:rPr>
      </w:pPr>
    </w:p>
    <w:p w14:paraId="2AE6B7D2">
      <w:pPr>
        <w:jc w:val="center"/>
        <w:rPr>
          <w:rFonts w:ascii="仿宋" w:hAnsi="仿宋" w:eastAsia="仿宋"/>
          <w:sz w:val="32"/>
          <w:szCs w:val="32"/>
        </w:rPr>
      </w:pPr>
    </w:p>
    <w:p w14:paraId="7026BD8A">
      <w:pPr>
        <w:jc w:val="center"/>
        <w:rPr>
          <w:rFonts w:ascii="仿宋" w:hAnsi="仿宋" w:eastAsia="仿宋"/>
          <w:sz w:val="32"/>
          <w:szCs w:val="32"/>
        </w:rPr>
      </w:pPr>
    </w:p>
    <w:p w14:paraId="19425790">
      <w:pPr>
        <w:jc w:val="center"/>
        <w:rPr>
          <w:rFonts w:ascii="仿宋" w:hAnsi="仿宋" w:eastAsia="仿宋"/>
          <w:sz w:val="32"/>
          <w:szCs w:val="32"/>
        </w:rPr>
      </w:pPr>
    </w:p>
    <w:p w14:paraId="2125EFAE">
      <w:pPr>
        <w:jc w:val="center"/>
        <w:rPr>
          <w:rFonts w:ascii="仿宋" w:hAnsi="仿宋" w:eastAsia="仿宋"/>
          <w:sz w:val="32"/>
          <w:szCs w:val="32"/>
        </w:rPr>
      </w:pPr>
    </w:p>
    <w:p w14:paraId="47689ACF">
      <w:pPr>
        <w:jc w:val="center"/>
        <w:rPr>
          <w:rFonts w:ascii="仿宋" w:hAnsi="仿宋" w:eastAsia="仿宋"/>
          <w:sz w:val="32"/>
          <w:szCs w:val="32"/>
        </w:rPr>
      </w:pPr>
    </w:p>
    <w:p w14:paraId="1307E4AC">
      <w:pPr>
        <w:jc w:val="center"/>
        <w:rPr>
          <w:rFonts w:ascii="仿宋" w:hAnsi="仿宋" w:eastAsia="仿宋"/>
          <w:sz w:val="32"/>
          <w:szCs w:val="32"/>
        </w:rPr>
      </w:pPr>
    </w:p>
    <w:p w14:paraId="10D26F15">
      <w:pPr>
        <w:jc w:val="center"/>
        <w:rPr>
          <w:rFonts w:ascii="仿宋" w:hAnsi="仿宋" w:eastAsia="仿宋"/>
          <w:sz w:val="32"/>
          <w:szCs w:val="32"/>
        </w:rPr>
      </w:pPr>
    </w:p>
    <w:p w14:paraId="1EF47A8D">
      <w:pPr>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山西省高平市人民政府</w:t>
      </w:r>
    </w:p>
    <w:p w14:paraId="7D3FB055">
      <w:pPr>
        <w:jc w:val="center"/>
        <w:rPr>
          <w:rFonts w:ascii="仿宋" w:hAnsi="仿宋" w:eastAsia="仿宋"/>
          <w:sz w:val="32"/>
          <w:szCs w:val="32"/>
        </w:rPr>
      </w:pPr>
      <w:r>
        <w:rPr>
          <w:rFonts w:hint="eastAsia" w:ascii="仿宋" w:hAnsi="仿宋" w:eastAsia="仿宋"/>
          <w:sz w:val="32"/>
          <w:szCs w:val="32"/>
        </w:rPr>
        <w:t>二〇二六年</w:t>
      </w:r>
      <w:r>
        <w:rPr>
          <w:rFonts w:hint="eastAsia" w:ascii="仿宋" w:hAnsi="仿宋" w:eastAsia="仿宋"/>
          <w:sz w:val="32"/>
          <w:szCs w:val="32"/>
          <w:lang w:val="en-US" w:eastAsia="zh-CN"/>
        </w:rPr>
        <w:t>三</w:t>
      </w:r>
      <w:r>
        <w:rPr>
          <w:rFonts w:hint="eastAsia" w:ascii="仿宋" w:hAnsi="仿宋" w:eastAsia="仿宋"/>
          <w:sz w:val="32"/>
          <w:szCs w:val="32"/>
        </w:rPr>
        <w:t>月</w:t>
      </w:r>
    </w:p>
    <w:p w14:paraId="638D5A1D">
      <w:pPr>
        <w:spacing w:line="560" w:lineRule="exact"/>
        <w:jc w:val="center"/>
        <w:rPr>
          <w:rFonts w:hint="eastAsia" w:ascii="方正黑体_GBK" w:hAnsi="方正黑体_GBK" w:eastAsia="方正黑体_GBK" w:cs="方正黑体_GBK"/>
          <w:bCs/>
          <w:sz w:val="36"/>
          <w:szCs w:val="36"/>
        </w:rPr>
      </w:pPr>
      <w:r>
        <w:rPr>
          <w:rFonts w:hint="eastAsia" w:ascii="方正黑体_GBK" w:hAnsi="方正黑体_GBK" w:eastAsia="方正黑体_GBK" w:cs="方正黑体_GBK"/>
          <w:bCs/>
          <w:spacing w:val="-11"/>
          <w:sz w:val="44"/>
          <w:szCs w:val="44"/>
        </w:rPr>
        <w:t>关于《</w:t>
      </w:r>
      <w:r>
        <w:rPr>
          <w:rFonts w:hint="eastAsia" w:ascii="方正黑体_GBK" w:hAnsi="方正黑体_GBK" w:eastAsia="方正黑体_GBK" w:cs="方正黑体_GBK"/>
          <w:bCs/>
          <w:spacing w:val="-11"/>
          <w:sz w:val="44"/>
          <w:szCs w:val="44"/>
          <w:lang w:val="en-US" w:eastAsia="zh-CN"/>
        </w:rPr>
        <w:t>山西高平黄梨栽培</w:t>
      </w:r>
      <w:r>
        <w:rPr>
          <w:rFonts w:hint="eastAsia" w:ascii="方正黑体_GBK" w:hAnsi="方正黑体_GBK" w:eastAsia="方正黑体_GBK" w:cs="方正黑体_GBK"/>
          <w:bCs/>
          <w:spacing w:val="-11"/>
          <w:sz w:val="44"/>
          <w:szCs w:val="44"/>
        </w:rPr>
        <w:t>系统传承发展行动计划（2026-2028</w:t>
      </w:r>
      <w:r>
        <w:rPr>
          <w:rFonts w:hint="eastAsia" w:ascii="方正黑体_GBK" w:hAnsi="方正黑体_GBK" w:eastAsia="方正黑体_GBK" w:cs="方正黑体_GBK"/>
          <w:bCs/>
          <w:spacing w:val="-11"/>
          <w:sz w:val="44"/>
          <w:szCs w:val="44"/>
          <w:lang w:val="en-US" w:eastAsia="zh-CN"/>
        </w:rPr>
        <w:t>年</w:t>
      </w:r>
      <w:r>
        <w:rPr>
          <w:rFonts w:hint="eastAsia" w:ascii="方正黑体_GBK" w:hAnsi="方正黑体_GBK" w:eastAsia="方正黑体_GBK" w:cs="方正黑体_GBK"/>
          <w:bCs/>
          <w:spacing w:val="-11"/>
          <w:sz w:val="44"/>
          <w:szCs w:val="44"/>
        </w:rPr>
        <w:t>）》编撰情况的报告</w:t>
      </w:r>
    </w:p>
    <w:p w14:paraId="0D0FE9DA">
      <w:pPr>
        <w:spacing w:line="560" w:lineRule="exact"/>
        <w:rPr>
          <w:rFonts w:hint="eastAsia" w:ascii="仿宋_GB2312" w:hAnsi="仿宋_GB2312" w:eastAsia="仿宋_GB2312" w:cs="仿宋_GB2312"/>
          <w:sz w:val="32"/>
          <w:szCs w:val="32"/>
        </w:rPr>
      </w:pPr>
    </w:p>
    <w:p w14:paraId="2E66ECA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农业农村部社会事业促进司：</w:t>
      </w:r>
    </w:p>
    <w:p w14:paraId="3D923FA0">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根据贵司关于农遗管理工作的最新指导意见，要求农业文化遗产地以三年为周期，编制农业文化遗产传承发展三年行动计划（以下简称《三年行动计划》）。</w:t>
      </w:r>
    </w:p>
    <w:p w14:paraId="2E9FBF5B">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积极响应关于《三年行动计划》编制的指导意见，迅速组织力量，开展</w:t>
      </w:r>
      <w:r>
        <w:rPr>
          <w:rFonts w:hint="eastAsia" w:ascii="仿宋_GB2312" w:hAnsi="仿宋_GB2312" w:eastAsia="仿宋_GB2312" w:cs="仿宋_GB2312"/>
          <w:sz w:val="32"/>
          <w:szCs w:val="32"/>
          <w:lang w:val="en-US" w:eastAsia="zh-CN"/>
        </w:rPr>
        <w:t>黄梨栽培</w:t>
      </w:r>
      <w:r>
        <w:rPr>
          <w:rFonts w:hint="eastAsia" w:ascii="仿宋_GB2312" w:hAnsi="仿宋_GB2312" w:eastAsia="仿宋_GB2312" w:cs="仿宋_GB2312"/>
          <w:sz w:val="32"/>
          <w:szCs w:val="32"/>
        </w:rPr>
        <w:t>系统所在地</w:t>
      </w:r>
      <w:r>
        <w:rPr>
          <w:rFonts w:hint="eastAsia" w:ascii="仿宋_GB2312" w:eastAsia="仿宋_GB2312"/>
          <w:sz w:val="32"/>
          <w:szCs w:val="36"/>
        </w:rPr>
        <w:t>区域范围内</w:t>
      </w:r>
      <w:r>
        <w:rPr>
          <w:rFonts w:hint="eastAsia" w:ascii="仿宋_GB2312" w:eastAsia="仿宋_GB2312"/>
          <w:sz w:val="32"/>
          <w:szCs w:val="36"/>
          <w:lang w:val="en-US" w:eastAsia="zh-CN"/>
        </w:rPr>
        <w:t>15</w:t>
      </w:r>
      <w:r>
        <w:rPr>
          <w:rFonts w:hint="eastAsia" w:ascii="仿宋_GB2312" w:eastAsia="仿宋_GB2312"/>
          <w:sz w:val="32"/>
          <w:szCs w:val="36"/>
        </w:rPr>
        <w:t>个</w:t>
      </w:r>
      <w:r>
        <w:rPr>
          <w:rFonts w:hint="eastAsia" w:ascii="仿宋_GB2312" w:eastAsia="仿宋_GB2312"/>
          <w:sz w:val="32"/>
          <w:szCs w:val="36"/>
          <w:lang w:val="en-US" w:eastAsia="zh-CN"/>
        </w:rPr>
        <w:t>乡镇</w:t>
      </w:r>
      <w:r>
        <w:rPr>
          <w:rFonts w:hint="eastAsia" w:ascii="仿宋_GB2312" w:eastAsia="仿宋_GB2312"/>
          <w:sz w:val="32"/>
          <w:szCs w:val="36"/>
        </w:rPr>
        <w:t>的</w:t>
      </w:r>
      <w:r>
        <w:rPr>
          <w:rFonts w:hint="eastAsia" w:ascii="仿宋_GB2312" w:hAnsi="仿宋_GB2312" w:eastAsia="仿宋_GB2312" w:cs="仿宋_GB2312"/>
          <w:sz w:val="32"/>
          <w:szCs w:val="32"/>
        </w:rPr>
        <w:t>本底资源调查，</w:t>
      </w:r>
      <w:r>
        <w:rPr>
          <w:rFonts w:hint="eastAsia" w:ascii="仿宋_GB2312" w:eastAsia="仿宋_GB2312"/>
          <w:sz w:val="32"/>
          <w:szCs w:val="36"/>
        </w:rPr>
        <w:t>在传统品种、农耕技术、传统农具、手工技艺、特色产品、民俗节庆、乡土文艺等类型上共梳理出</w:t>
      </w:r>
      <w:r>
        <w:rPr>
          <w:rFonts w:hint="eastAsia" w:ascii="仿宋_GB2312" w:eastAsia="仿宋_GB2312"/>
          <w:sz w:val="32"/>
          <w:szCs w:val="36"/>
          <w:lang w:val="en-US" w:eastAsia="zh-CN"/>
        </w:rPr>
        <w:t>12</w:t>
      </w:r>
      <w:r>
        <w:rPr>
          <w:rFonts w:hint="eastAsia" w:ascii="仿宋_GB2312" w:eastAsia="仿宋_GB2312"/>
          <w:sz w:val="32"/>
          <w:szCs w:val="36"/>
        </w:rPr>
        <w:t>项核心保护要素。</w:t>
      </w:r>
      <w:r>
        <w:rPr>
          <w:rFonts w:hint="eastAsia" w:ascii="仿宋_GB2312" w:hAnsi="仿宋_GB2312" w:eastAsia="仿宋_GB2312" w:cs="仿宋_GB2312"/>
          <w:sz w:val="32"/>
          <w:szCs w:val="32"/>
        </w:rPr>
        <w:t>并在此基础上启动《</w:t>
      </w:r>
      <w:r>
        <w:rPr>
          <w:rFonts w:hint="eastAsia" w:ascii="仿宋_GB2312" w:hAnsi="仿宋_GB2312" w:eastAsia="仿宋_GB2312" w:cs="仿宋_GB2312"/>
          <w:sz w:val="32"/>
          <w:szCs w:val="32"/>
          <w:lang w:val="en-US" w:eastAsia="zh-CN"/>
        </w:rPr>
        <w:t>山西高平黄梨栽培</w:t>
      </w:r>
      <w:r>
        <w:rPr>
          <w:rFonts w:hint="eastAsia" w:ascii="仿宋_GB2312" w:hAnsi="仿宋_GB2312" w:eastAsia="仿宋_GB2312" w:cs="仿宋_GB2312"/>
          <w:sz w:val="32"/>
          <w:szCs w:val="32"/>
        </w:rPr>
        <w:t>系统传承发展行动计划（2026-2028</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）》编制工作。</w:t>
      </w:r>
    </w:p>
    <w:p w14:paraId="417CE4EB">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本行动计划</w:t>
      </w:r>
      <w:r>
        <w:rPr>
          <w:rFonts w:hint="eastAsia" w:ascii="仿宋_GB2312" w:hAnsi="仿宋_GB2312" w:eastAsia="仿宋_GB2312" w:cs="仿宋_GB2312"/>
          <w:sz w:val="32"/>
          <w:szCs w:val="32"/>
        </w:rPr>
        <w:t>明确</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lang w:val="en-US" w:eastAsia="zh-CN"/>
        </w:rPr>
        <w:t>核心保护区位置和面积、主要分布区的分布、对区域主要指标进行了对比分析、提出了</w:t>
      </w:r>
      <w:r>
        <w:rPr>
          <w:rFonts w:hint="eastAsia" w:ascii="仿宋_GB2312" w:hAnsi="仿宋_GB2312" w:eastAsia="仿宋_GB2312" w:cs="仿宋_GB2312"/>
          <w:sz w:val="32"/>
          <w:szCs w:val="32"/>
        </w:rPr>
        <w:t>未来三年的核心保护要素名录、农耕文化传承人名单、</w:t>
      </w:r>
      <w:r>
        <w:rPr>
          <w:rFonts w:hint="eastAsia" w:ascii="仿宋_GB2312" w:hAnsi="仿宋_GB2312" w:eastAsia="仿宋_GB2312" w:cs="仿宋_GB2312"/>
          <w:sz w:val="32"/>
          <w:szCs w:val="32"/>
          <w:lang w:val="en-US" w:eastAsia="zh-CN"/>
        </w:rPr>
        <w:t>计划</w:t>
      </w:r>
      <w:r>
        <w:rPr>
          <w:rFonts w:hint="eastAsia" w:ascii="仿宋_GB2312" w:hAnsi="仿宋_GB2312" w:eastAsia="仿宋_GB2312" w:cs="仿宋_GB2312"/>
          <w:sz w:val="32"/>
          <w:szCs w:val="32"/>
        </w:rPr>
        <w:t>实施项目清单及拟出台政策文件清单</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，旨在推进重要农业文化遗产的保护与传承。</w:t>
      </w:r>
      <w:r>
        <w:rPr>
          <w:rFonts w:hint="eastAsia" w:ascii="仿宋_GB2312" w:hAnsi="仿宋_GB2312" w:eastAsia="仿宋_GB2312" w:cs="仿宋_GB2312"/>
          <w:sz w:val="32"/>
          <w:szCs w:val="32"/>
          <w:lang w:val="en-US" w:eastAsia="zh-CN"/>
        </w:rPr>
        <w:t>本行动计划的编制是</w:t>
      </w:r>
      <w:r>
        <w:rPr>
          <w:rFonts w:hint="eastAsia" w:ascii="仿宋_GB2312" w:hAnsi="仿宋_GB2312" w:eastAsia="仿宋_GB2312" w:cs="仿宋_GB2312"/>
          <w:sz w:val="32"/>
          <w:szCs w:val="32"/>
        </w:rPr>
        <w:t>在充分征求各相关部门意见建议的基础上，</w:t>
      </w:r>
      <w:r>
        <w:rPr>
          <w:rFonts w:hint="eastAsia" w:ascii="仿宋_GB2312" w:hAnsi="仿宋_GB2312" w:eastAsia="仿宋_GB2312" w:cs="仿宋_GB2312"/>
          <w:sz w:val="32"/>
          <w:szCs w:val="32"/>
          <w:lang w:val="en-US" w:eastAsia="zh-CN"/>
        </w:rPr>
        <w:t>经过项目责任人审定并通过</w:t>
      </w:r>
      <w:r>
        <w:rPr>
          <w:rFonts w:hint="eastAsia" w:ascii="仿宋_GB2312" w:hAnsi="仿宋_GB2312" w:eastAsia="仿宋_GB2312" w:cs="仿宋_GB2312"/>
          <w:sz w:val="32"/>
          <w:szCs w:val="32"/>
        </w:rPr>
        <w:t>编撰组集体研究</w:t>
      </w:r>
      <w:r>
        <w:rPr>
          <w:rFonts w:hint="eastAsia" w:ascii="仿宋_GB2312" w:hAnsi="仿宋_GB2312" w:eastAsia="仿宋_GB2312" w:cs="仿宋_GB2312"/>
          <w:sz w:val="32"/>
          <w:szCs w:val="32"/>
          <w:lang w:val="en-US" w:eastAsia="zh-CN"/>
        </w:rPr>
        <w:t>确定完成</w:t>
      </w:r>
      <w:r>
        <w:rPr>
          <w:rFonts w:hint="eastAsia" w:ascii="仿宋_GB2312" w:hAnsi="仿宋_GB2312" w:eastAsia="仿宋_GB2312" w:cs="仿宋_GB2312"/>
          <w:sz w:val="32"/>
          <w:szCs w:val="32"/>
        </w:rPr>
        <w:t>。</w:t>
      </w:r>
    </w:p>
    <w:p w14:paraId="6F66E38F">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特此报告，望予批复！</w:t>
      </w:r>
    </w:p>
    <w:p w14:paraId="5934DD22">
      <w:pPr>
        <w:spacing w:line="560" w:lineRule="exact"/>
        <w:ind w:firstLine="627" w:firstLineChars="196"/>
        <w:rPr>
          <w:rFonts w:hint="eastAsia" w:ascii="仿宋_GB2312" w:hAnsi="仿宋_GB2312" w:eastAsia="仿宋_GB2312" w:cs="仿宋_GB2312"/>
          <w:sz w:val="32"/>
          <w:szCs w:val="32"/>
        </w:rPr>
      </w:pPr>
      <w:bookmarkStart w:id="0" w:name="OLE_LINK24"/>
    </w:p>
    <w:bookmarkEnd w:id="0"/>
    <w:p w14:paraId="5C1448AD">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山西省高平市</w:t>
      </w:r>
      <w:r>
        <w:rPr>
          <w:rFonts w:hint="eastAsia" w:ascii="仿宋_GB2312" w:hAnsi="仿宋_GB2312" w:eastAsia="仿宋_GB2312" w:cs="仿宋_GB2312"/>
          <w:sz w:val="32"/>
          <w:szCs w:val="32"/>
        </w:rPr>
        <w:t>人民政府</w:t>
      </w:r>
    </w:p>
    <w:p w14:paraId="11350132">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14:paraId="37385999">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sdt>
      <w:sdtPr>
        <w:rPr>
          <w:rFonts w:ascii="宋体" w:hAnsi="宋体" w:eastAsia="宋体" w:cstheme="minorBidi"/>
          <w:kern w:val="2"/>
          <w:sz w:val="21"/>
          <w:szCs w:val="24"/>
          <w:lang w:val="en-US" w:eastAsia="zh-CN" w:bidi="ar-SA"/>
        </w:rPr>
        <w:id w:val="14748125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410CDDBC">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FC23CE7">
          <w:pPr>
            <w:pStyle w:val="13"/>
            <w:tabs>
              <w:tab w:val="right" w:leader="dot" w:pos="8306"/>
            </w:tabs>
          </w:pPr>
          <w:r>
            <w:rPr>
              <w:rFonts w:hint="eastAsia" w:asciiTheme="minorHAnsi" w:hAnsiTheme="minorHAnsi" w:eastAsiaTheme="minorEastAsia" w:cstheme="minorBidi"/>
              <w:kern w:val="2"/>
              <w:sz w:val="21"/>
              <w:szCs w:val="24"/>
              <w:lang w:val="en-US" w:eastAsia="zh-CN" w:bidi="ar-SA"/>
            </w:rPr>
            <w:fldChar w:fldCharType="begin"/>
          </w:r>
          <w:r>
            <w:rPr>
              <w:rFonts w:hint="eastAsia" w:asciiTheme="minorHAnsi" w:hAnsiTheme="minorHAnsi" w:eastAsiaTheme="minorEastAsia" w:cstheme="minorBidi"/>
              <w:kern w:val="2"/>
              <w:sz w:val="21"/>
              <w:szCs w:val="24"/>
              <w:lang w:val="en-US" w:eastAsia="zh-CN" w:bidi="ar-SA"/>
            </w:rPr>
            <w:instrText xml:space="preserve">TOC \o "1-3" \h \u </w:instrText>
          </w:r>
          <w:r>
            <w:rPr>
              <w:rFonts w:hint="eastAsia" w:asciiTheme="minorHAnsi" w:hAnsiTheme="minorHAnsi" w:eastAsiaTheme="minorEastAsia" w:cstheme="minorBidi"/>
              <w:kern w:val="2"/>
              <w:sz w:val="21"/>
              <w:szCs w:val="24"/>
              <w:lang w:val="en-US" w:eastAsia="zh-CN" w:bidi="ar-SA"/>
            </w:rPr>
            <w:fldChar w:fldCharType="separate"/>
          </w: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_Toc2198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一、农业文化遗产本底情况</w:t>
          </w:r>
          <w:r>
            <w:tab/>
          </w:r>
          <w:r>
            <w:fldChar w:fldCharType="begin"/>
          </w:r>
          <w:r>
            <w:instrText xml:space="preserve"> PAGEREF _Toc2198 \h </w:instrText>
          </w:r>
          <w:r>
            <w:fldChar w:fldCharType="separate"/>
          </w:r>
          <w:r>
            <w:t>1</w:t>
          </w:r>
          <w:r>
            <w:fldChar w:fldCharType="end"/>
          </w:r>
          <w:r>
            <w:rPr>
              <w:rFonts w:hint="eastAsia" w:asciiTheme="minorHAnsi" w:hAnsiTheme="minorHAnsi" w:eastAsiaTheme="minorEastAsia" w:cstheme="minorBidi"/>
              <w:kern w:val="2"/>
              <w:szCs w:val="24"/>
              <w:lang w:val="en-US" w:eastAsia="zh-CN" w:bidi="ar-SA"/>
            </w:rPr>
            <w:fldChar w:fldCharType="end"/>
          </w:r>
        </w:p>
        <w:p w14:paraId="0C98ABCE">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_Toc1776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（一）主要分布区域情况</w:t>
          </w:r>
          <w:r>
            <w:tab/>
          </w:r>
          <w:r>
            <w:fldChar w:fldCharType="begin"/>
          </w:r>
          <w:r>
            <w:instrText xml:space="preserve"> PAGEREF _Toc1776 \h </w:instrText>
          </w:r>
          <w:r>
            <w:fldChar w:fldCharType="separate"/>
          </w:r>
          <w:r>
            <w:t>1</w:t>
          </w:r>
          <w:r>
            <w:fldChar w:fldCharType="end"/>
          </w:r>
          <w:r>
            <w:rPr>
              <w:rFonts w:hint="eastAsia" w:asciiTheme="minorHAnsi" w:hAnsiTheme="minorHAnsi" w:eastAsiaTheme="minorEastAsia" w:cstheme="minorBidi"/>
              <w:kern w:val="2"/>
              <w:szCs w:val="24"/>
              <w:lang w:val="en-US" w:eastAsia="zh-CN" w:bidi="ar-SA"/>
            </w:rPr>
            <w:fldChar w:fldCharType="end"/>
          </w:r>
        </w:p>
        <w:p w14:paraId="7A18E17E">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_Toc2528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（二）核心保护区域分布情况</w:t>
          </w:r>
          <w:r>
            <w:tab/>
          </w:r>
          <w:r>
            <w:fldChar w:fldCharType="begin"/>
          </w:r>
          <w:r>
            <w:instrText xml:space="preserve"> PAGEREF _Toc2528 \h </w:instrText>
          </w:r>
          <w:r>
            <w:fldChar w:fldCharType="separate"/>
          </w:r>
          <w:r>
            <w:t>2</w:t>
          </w:r>
          <w:r>
            <w:fldChar w:fldCharType="end"/>
          </w:r>
          <w:r>
            <w:rPr>
              <w:rFonts w:hint="eastAsia" w:asciiTheme="minorHAnsi" w:hAnsiTheme="minorHAnsi" w:eastAsiaTheme="minorEastAsia" w:cstheme="minorBidi"/>
              <w:kern w:val="2"/>
              <w:szCs w:val="24"/>
              <w:lang w:val="en-US" w:eastAsia="zh-CN" w:bidi="ar-SA"/>
            </w:rPr>
            <w:fldChar w:fldCharType="end"/>
          </w:r>
        </w:p>
        <w:p w14:paraId="75E338CA">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_Toc27204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（三） 区域主要指标对比分析</w:t>
          </w:r>
          <w:r>
            <w:tab/>
          </w:r>
          <w:r>
            <w:fldChar w:fldCharType="begin"/>
          </w:r>
          <w:r>
            <w:instrText xml:space="preserve"> PAGEREF _Toc27204 \h </w:instrText>
          </w:r>
          <w:r>
            <w:fldChar w:fldCharType="separate"/>
          </w:r>
          <w:r>
            <w:t>3</w:t>
          </w:r>
          <w:r>
            <w:fldChar w:fldCharType="end"/>
          </w:r>
          <w:r>
            <w:rPr>
              <w:rFonts w:hint="eastAsia" w:asciiTheme="minorHAnsi" w:hAnsiTheme="minorHAnsi" w:eastAsiaTheme="minorEastAsia" w:cstheme="minorBidi"/>
              <w:kern w:val="2"/>
              <w:szCs w:val="24"/>
              <w:lang w:val="en-US" w:eastAsia="zh-CN" w:bidi="ar-SA"/>
            </w:rPr>
            <w:fldChar w:fldCharType="end"/>
          </w:r>
        </w:p>
        <w:p w14:paraId="30A13643">
          <w:pPr>
            <w:pStyle w:val="10"/>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_Toc9199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1.核心保护区域</w:t>
          </w:r>
          <w:r>
            <w:tab/>
          </w:r>
          <w:r>
            <w:fldChar w:fldCharType="begin"/>
          </w:r>
          <w:r>
            <w:instrText xml:space="preserve"> PAGEREF _Toc9199 \h </w:instrText>
          </w:r>
          <w:r>
            <w:fldChar w:fldCharType="separate"/>
          </w:r>
          <w:r>
            <w:t>3</w:t>
          </w:r>
          <w:r>
            <w:fldChar w:fldCharType="end"/>
          </w:r>
          <w:r>
            <w:rPr>
              <w:rFonts w:hint="eastAsia" w:asciiTheme="minorHAnsi" w:hAnsiTheme="minorHAnsi" w:eastAsiaTheme="minorEastAsia" w:cstheme="minorBidi"/>
              <w:kern w:val="2"/>
              <w:szCs w:val="24"/>
              <w:lang w:val="en-US" w:eastAsia="zh-CN" w:bidi="ar-SA"/>
            </w:rPr>
            <w:fldChar w:fldCharType="end"/>
          </w:r>
        </w:p>
        <w:p w14:paraId="5A105108">
          <w:pPr>
            <w:pStyle w:val="10"/>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_Toc25367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2.主要分布区域</w:t>
          </w:r>
          <w:r>
            <w:tab/>
          </w:r>
          <w:r>
            <w:fldChar w:fldCharType="begin"/>
          </w:r>
          <w:r>
            <w:instrText xml:space="preserve"> PAGEREF _Toc25367 \h </w:instrText>
          </w:r>
          <w:r>
            <w:fldChar w:fldCharType="separate"/>
          </w:r>
          <w:r>
            <w:t>5</w:t>
          </w:r>
          <w:r>
            <w:fldChar w:fldCharType="end"/>
          </w:r>
          <w:r>
            <w:rPr>
              <w:rFonts w:hint="eastAsia" w:asciiTheme="minorHAnsi" w:hAnsiTheme="minorHAnsi" w:eastAsiaTheme="minorEastAsia" w:cstheme="minorBidi"/>
              <w:kern w:val="2"/>
              <w:szCs w:val="24"/>
              <w:lang w:val="en-US" w:eastAsia="zh-CN" w:bidi="ar-SA"/>
            </w:rPr>
            <w:fldChar w:fldCharType="end"/>
          </w:r>
        </w:p>
        <w:p w14:paraId="4DC16B22">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_Toc11025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（四） 核心保护要素保护情况</w:t>
          </w:r>
          <w:r>
            <w:tab/>
          </w:r>
          <w:r>
            <w:fldChar w:fldCharType="begin"/>
          </w:r>
          <w:r>
            <w:instrText xml:space="preserve"> PAGEREF _Toc11025 \h </w:instrText>
          </w:r>
          <w:r>
            <w:fldChar w:fldCharType="separate"/>
          </w:r>
          <w:r>
            <w:t>6</w:t>
          </w:r>
          <w:r>
            <w:fldChar w:fldCharType="end"/>
          </w:r>
          <w:r>
            <w:rPr>
              <w:rFonts w:hint="eastAsia" w:asciiTheme="minorHAnsi" w:hAnsiTheme="minorHAnsi" w:eastAsiaTheme="minorEastAsia" w:cstheme="minorBidi"/>
              <w:kern w:val="2"/>
              <w:szCs w:val="24"/>
              <w:lang w:val="en-US" w:eastAsia="zh-CN" w:bidi="ar-SA"/>
            </w:rPr>
            <w:fldChar w:fldCharType="end"/>
          </w:r>
        </w:p>
        <w:p w14:paraId="03340687">
          <w:pPr>
            <w:pStyle w:val="10"/>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_Toc9467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1.农业物种</w:t>
          </w:r>
          <w:r>
            <w:tab/>
          </w:r>
          <w:r>
            <w:fldChar w:fldCharType="begin"/>
          </w:r>
          <w:r>
            <w:instrText xml:space="preserve"> PAGEREF _Toc9467 \h </w:instrText>
          </w:r>
          <w:r>
            <w:fldChar w:fldCharType="separate"/>
          </w:r>
          <w:r>
            <w:t>6</w:t>
          </w:r>
          <w:r>
            <w:fldChar w:fldCharType="end"/>
          </w:r>
          <w:r>
            <w:rPr>
              <w:rFonts w:hint="eastAsia" w:asciiTheme="minorHAnsi" w:hAnsiTheme="minorHAnsi" w:eastAsiaTheme="minorEastAsia" w:cstheme="minorBidi"/>
              <w:kern w:val="2"/>
              <w:szCs w:val="24"/>
              <w:lang w:val="en-US" w:eastAsia="zh-CN" w:bidi="ar-SA"/>
            </w:rPr>
            <w:fldChar w:fldCharType="end"/>
          </w:r>
        </w:p>
        <w:p w14:paraId="1C4041C8">
          <w:pPr>
            <w:pStyle w:val="10"/>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_Toc23335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2.传统知识体系与农耕技艺</w:t>
          </w:r>
          <w:r>
            <w:tab/>
          </w:r>
          <w:r>
            <w:fldChar w:fldCharType="begin"/>
          </w:r>
          <w:r>
            <w:instrText xml:space="preserve"> PAGEREF _Toc23335 \h </w:instrText>
          </w:r>
          <w:r>
            <w:fldChar w:fldCharType="separate"/>
          </w:r>
          <w:r>
            <w:t>6</w:t>
          </w:r>
          <w:r>
            <w:fldChar w:fldCharType="end"/>
          </w:r>
          <w:r>
            <w:rPr>
              <w:rFonts w:hint="eastAsia" w:asciiTheme="minorHAnsi" w:hAnsiTheme="minorHAnsi" w:eastAsiaTheme="minorEastAsia" w:cstheme="minorBidi"/>
              <w:kern w:val="2"/>
              <w:szCs w:val="24"/>
              <w:lang w:val="en-US" w:eastAsia="zh-CN" w:bidi="ar-SA"/>
            </w:rPr>
            <w:fldChar w:fldCharType="end"/>
          </w:r>
        </w:p>
        <w:p w14:paraId="21153860">
          <w:pPr>
            <w:pStyle w:val="10"/>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_Toc16535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3.农业景观</w:t>
          </w:r>
          <w:r>
            <w:tab/>
          </w:r>
          <w:r>
            <w:fldChar w:fldCharType="begin"/>
          </w:r>
          <w:r>
            <w:instrText xml:space="preserve"> PAGEREF _Toc16535 \h </w:instrText>
          </w:r>
          <w:r>
            <w:fldChar w:fldCharType="separate"/>
          </w:r>
          <w:r>
            <w:t>7</w:t>
          </w:r>
          <w:r>
            <w:fldChar w:fldCharType="end"/>
          </w:r>
          <w:r>
            <w:rPr>
              <w:rFonts w:hint="eastAsia" w:asciiTheme="minorHAnsi" w:hAnsiTheme="minorHAnsi" w:eastAsiaTheme="minorEastAsia" w:cstheme="minorBidi"/>
              <w:kern w:val="2"/>
              <w:szCs w:val="24"/>
              <w:lang w:val="en-US" w:eastAsia="zh-CN" w:bidi="ar-SA"/>
            </w:rPr>
            <w:fldChar w:fldCharType="end"/>
          </w:r>
        </w:p>
        <w:p w14:paraId="39ECE7CF">
          <w:pPr>
            <w:pStyle w:val="10"/>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_Toc23897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4.节庆活动</w:t>
          </w:r>
          <w:r>
            <w:tab/>
          </w:r>
          <w:r>
            <w:fldChar w:fldCharType="begin"/>
          </w:r>
          <w:r>
            <w:instrText xml:space="preserve"> PAGEREF _Toc23897 \h </w:instrText>
          </w:r>
          <w:r>
            <w:fldChar w:fldCharType="separate"/>
          </w:r>
          <w:r>
            <w:t>8</w:t>
          </w:r>
          <w:r>
            <w:fldChar w:fldCharType="end"/>
          </w:r>
          <w:r>
            <w:rPr>
              <w:rFonts w:hint="eastAsia" w:asciiTheme="minorHAnsi" w:hAnsiTheme="minorHAnsi" w:eastAsiaTheme="minorEastAsia" w:cstheme="minorBidi"/>
              <w:kern w:val="2"/>
              <w:szCs w:val="24"/>
              <w:lang w:val="en-US" w:eastAsia="zh-CN" w:bidi="ar-SA"/>
            </w:rPr>
            <w:fldChar w:fldCharType="end"/>
          </w:r>
        </w:p>
        <w:p w14:paraId="198B4DA3">
          <w:pPr>
            <w:pStyle w:val="10"/>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_Toc12556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5.传统习俗</w:t>
          </w:r>
          <w:r>
            <w:tab/>
          </w:r>
          <w:r>
            <w:fldChar w:fldCharType="begin"/>
          </w:r>
          <w:r>
            <w:instrText xml:space="preserve"> PAGEREF _Toc12556 \h </w:instrText>
          </w:r>
          <w:r>
            <w:fldChar w:fldCharType="separate"/>
          </w:r>
          <w:r>
            <w:t>9</w:t>
          </w:r>
          <w:r>
            <w:fldChar w:fldCharType="end"/>
          </w:r>
          <w:r>
            <w:rPr>
              <w:rFonts w:hint="eastAsia" w:asciiTheme="minorHAnsi" w:hAnsiTheme="minorHAnsi" w:eastAsiaTheme="minorEastAsia" w:cstheme="minorBidi"/>
              <w:kern w:val="2"/>
              <w:szCs w:val="24"/>
              <w:lang w:val="en-US" w:eastAsia="zh-CN" w:bidi="ar-SA"/>
            </w:rPr>
            <w:fldChar w:fldCharType="end"/>
          </w:r>
        </w:p>
        <w:p w14:paraId="046C45A0">
          <w:pPr>
            <w:pStyle w:val="10"/>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_Toc17532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6.传承人队伍</w:t>
          </w:r>
          <w:r>
            <w:tab/>
          </w:r>
          <w:r>
            <w:fldChar w:fldCharType="begin"/>
          </w:r>
          <w:r>
            <w:instrText xml:space="preserve"> PAGEREF _Toc17532 \h </w:instrText>
          </w:r>
          <w:r>
            <w:fldChar w:fldCharType="separate"/>
          </w:r>
          <w:r>
            <w:t>9</w:t>
          </w:r>
          <w:r>
            <w:fldChar w:fldCharType="end"/>
          </w:r>
          <w:r>
            <w:rPr>
              <w:rFonts w:hint="eastAsia" w:asciiTheme="minorHAnsi" w:hAnsiTheme="minorHAnsi" w:eastAsiaTheme="minorEastAsia" w:cstheme="minorBidi"/>
              <w:kern w:val="2"/>
              <w:szCs w:val="24"/>
              <w:lang w:val="en-US" w:eastAsia="zh-CN" w:bidi="ar-SA"/>
            </w:rPr>
            <w:fldChar w:fldCharType="end"/>
          </w:r>
        </w:p>
        <w:p w14:paraId="5574A50A">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_Toc31047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（五）核心保护要素面临的风险</w:t>
          </w:r>
          <w:r>
            <w:tab/>
          </w:r>
          <w:r>
            <w:fldChar w:fldCharType="begin"/>
          </w:r>
          <w:r>
            <w:instrText xml:space="preserve"> PAGEREF _Toc31047 \h </w:instrText>
          </w:r>
          <w:r>
            <w:fldChar w:fldCharType="separate"/>
          </w:r>
          <w:r>
            <w:t>9</w:t>
          </w:r>
          <w:r>
            <w:fldChar w:fldCharType="end"/>
          </w:r>
          <w:r>
            <w:rPr>
              <w:rFonts w:hint="eastAsia" w:asciiTheme="minorHAnsi" w:hAnsiTheme="minorHAnsi" w:eastAsiaTheme="minorEastAsia" w:cstheme="minorBidi"/>
              <w:kern w:val="2"/>
              <w:szCs w:val="24"/>
              <w:lang w:val="en-US" w:eastAsia="zh-CN" w:bidi="ar-SA"/>
            </w:rPr>
            <w:fldChar w:fldCharType="end"/>
          </w:r>
        </w:p>
        <w:p w14:paraId="62D4CE85">
          <w:pPr>
            <w:pStyle w:val="13"/>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_Toc32133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二、项目资金安排计划</w:t>
          </w:r>
          <w:r>
            <w:tab/>
          </w:r>
          <w:r>
            <w:fldChar w:fldCharType="begin"/>
          </w:r>
          <w:r>
            <w:instrText xml:space="preserve"> PAGEREF _Toc32133 \h </w:instrText>
          </w:r>
          <w:r>
            <w:fldChar w:fldCharType="separate"/>
          </w:r>
          <w:r>
            <w:t>10</w:t>
          </w:r>
          <w:r>
            <w:fldChar w:fldCharType="end"/>
          </w:r>
          <w:r>
            <w:rPr>
              <w:rFonts w:hint="eastAsia" w:asciiTheme="minorHAnsi" w:hAnsiTheme="minorHAnsi" w:eastAsiaTheme="minorEastAsia" w:cstheme="minorBidi"/>
              <w:kern w:val="2"/>
              <w:szCs w:val="24"/>
              <w:lang w:val="en-US" w:eastAsia="zh-CN" w:bidi="ar-SA"/>
            </w:rPr>
            <w:fldChar w:fldCharType="end"/>
          </w:r>
        </w:p>
        <w:p w14:paraId="586DBC33">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_Toc31007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（一）老梨树普查</w:t>
          </w:r>
          <w:r>
            <w:tab/>
          </w:r>
          <w:r>
            <w:fldChar w:fldCharType="begin"/>
          </w:r>
          <w:r>
            <w:instrText xml:space="preserve"> PAGEREF _Toc31007 \h </w:instrText>
          </w:r>
          <w:r>
            <w:fldChar w:fldCharType="separate"/>
          </w:r>
          <w:r>
            <w:t>11</w:t>
          </w:r>
          <w:r>
            <w:fldChar w:fldCharType="end"/>
          </w:r>
          <w:r>
            <w:rPr>
              <w:rFonts w:hint="eastAsia" w:asciiTheme="minorHAnsi" w:hAnsiTheme="minorHAnsi" w:eastAsiaTheme="minorEastAsia" w:cstheme="minorBidi"/>
              <w:kern w:val="2"/>
              <w:szCs w:val="24"/>
              <w:lang w:val="en-US" w:eastAsia="zh-CN" w:bidi="ar-SA"/>
            </w:rPr>
            <w:fldChar w:fldCharType="end"/>
          </w:r>
        </w:p>
        <w:p w14:paraId="00EF3F40">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_Toc23746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（二）黄梨文化传承人培养工程</w:t>
          </w:r>
          <w:r>
            <w:tab/>
          </w:r>
          <w:r>
            <w:fldChar w:fldCharType="begin"/>
          </w:r>
          <w:r>
            <w:instrText xml:space="preserve"> PAGEREF _Toc23746 \h </w:instrText>
          </w:r>
          <w:r>
            <w:fldChar w:fldCharType="separate"/>
          </w:r>
          <w:r>
            <w:t>11</w:t>
          </w:r>
          <w:r>
            <w:fldChar w:fldCharType="end"/>
          </w:r>
          <w:r>
            <w:rPr>
              <w:rFonts w:hint="eastAsia" w:asciiTheme="minorHAnsi" w:hAnsiTheme="minorHAnsi" w:eastAsiaTheme="minorEastAsia" w:cstheme="minorBidi"/>
              <w:kern w:val="2"/>
              <w:szCs w:val="24"/>
              <w:lang w:val="en-US" w:eastAsia="zh-CN" w:bidi="ar-SA"/>
            </w:rPr>
            <w:fldChar w:fldCharType="end"/>
          </w:r>
        </w:p>
        <w:p w14:paraId="7FE3EAB2">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_Toc8245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（三）老梨树规范化管理</w:t>
          </w:r>
          <w:r>
            <w:tab/>
          </w:r>
          <w:r>
            <w:fldChar w:fldCharType="begin"/>
          </w:r>
          <w:r>
            <w:instrText xml:space="preserve"> PAGEREF _Toc8245 \h </w:instrText>
          </w:r>
          <w:r>
            <w:fldChar w:fldCharType="separate"/>
          </w:r>
          <w:r>
            <w:t>11</w:t>
          </w:r>
          <w:r>
            <w:fldChar w:fldCharType="end"/>
          </w:r>
          <w:r>
            <w:rPr>
              <w:rFonts w:hint="eastAsia" w:asciiTheme="minorHAnsi" w:hAnsiTheme="minorHAnsi" w:eastAsiaTheme="minorEastAsia" w:cstheme="minorBidi"/>
              <w:kern w:val="2"/>
              <w:szCs w:val="24"/>
              <w:lang w:val="en-US" w:eastAsia="zh-CN" w:bidi="ar-SA"/>
            </w:rPr>
            <w:fldChar w:fldCharType="end"/>
          </w:r>
        </w:p>
        <w:p w14:paraId="0A5247BA">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_Toc30130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（四）黄梨标准化种植园实施工程</w:t>
          </w:r>
          <w:r>
            <w:tab/>
          </w:r>
          <w:r>
            <w:fldChar w:fldCharType="begin"/>
          </w:r>
          <w:r>
            <w:instrText xml:space="preserve"> PAGEREF _Toc30130 \h </w:instrText>
          </w:r>
          <w:r>
            <w:fldChar w:fldCharType="separate"/>
          </w:r>
          <w:r>
            <w:t>11</w:t>
          </w:r>
          <w:r>
            <w:fldChar w:fldCharType="end"/>
          </w:r>
          <w:r>
            <w:rPr>
              <w:rFonts w:hint="eastAsia" w:asciiTheme="minorHAnsi" w:hAnsiTheme="minorHAnsi" w:eastAsiaTheme="minorEastAsia" w:cstheme="minorBidi"/>
              <w:kern w:val="2"/>
              <w:szCs w:val="24"/>
              <w:lang w:val="en-US" w:eastAsia="zh-CN" w:bidi="ar-SA"/>
            </w:rPr>
            <w:fldChar w:fldCharType="end"/>
          </w:r>
        </w:p>
        <w:p w14:paraId="6A18362B">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_Toc5353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（五）黄梨健康饮品深加工</w:t>
          </w:r>
          <w:r>
            <w:tab/>
          </w:r>
          <w:r>
            <w:fldChar w:fldCharType="begin"/>
          </w:r>
          <w:r>
            <w:instrText xml:space="preserve"> PAGEREF _Toc5353 \h </w:instrText>
          </w:r>
          <w:r>
            <w:fldChar w:fldCharType="separate"/>
          </w:r>
          <w:r>
            <w:t>12</w:t>
          </w:r>
          <w:r>
            <w:fldChar w:fldCharType="end"/>
          </w:r>
          <w:r>
            <w:rPr>
              <w:rFonts w:hint="eastAsia" w:asciiTheme="minorHAnsi" w:hAnsiTheme="minorHAnsi" w:eastAsiaTheme="minorEastAsia" w:cstheme="minorBidi"/>
              <w:kern w:val="2"/>
              <w:szCs w:val="24"/>
              <w:lang w:val="en-US" w:eastAsia="zh-CN" w:bidi="ar-SA"/>
            </w:rPr>
            <w:fldChar w:fldCharType="end"/>
          </w:r>
        </w:p>
        <w:p w14:paraId="377B5CAB">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_Toc6827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（六）“高平黄梨”区域品牌建设</w:t>
          </w:r>
          <w:r>
            <w:tab/>
          </w:r>
          <w:r>
            <w:fldChar w:fldCharType="begin"/>
          </w:r>
          <w:r>
            <w:instrText xml:space="preserve"> PAGEREF _Toc6827 \h </w:instrText>
          </w:r>
          <w:r>
            <w:fldChar w:fldCharType="separate"/>
          </w:r>
          <w:r>
            <w:t>12</w:t>
          </w:r>
          <w:r>
            <w:fldChar w:fldCharType="end"/>
          </w:r>
          <w:r>
            <w:rPr>
              <w:rFonts w:hint="eastAsia" w:asciiTheme="minorHAnsi" w:hAnsiTheme="minorHAnsi" w:eastAsiaTheme="minorEastAsia" w:cstheme="minorBidi"/>
              <w:kern w:val="2"/>
              <w:szCs w:val="24"/>
              <w:lang w:val="en-US" w:eastAsia="zh-CN" w:bidi="ar-SA"/>
            </w:rPr>
            <w:fldChar w:fldCharType="end"/>
          </w:r>
        </w:p>
        <w:p w14:paraId="1A45E9B3">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_Toc22499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（七）果农技术培训工程</w:t>
          </w:r>
          <w:r>
            <w:tab/>
          </w:r>
          <w:r>
            <w:fldChar w:fldCharType="begin"/>
          </w:r>
          <w:r>
            <w:instrText xml:space="preserve"> PAGEREF _Toc22499 \h </w:instrText>
          </w:r>
          <w:r>
            <w:fldChar w:fldCharType="separate"/>
          </w:r>
          <w:r>
            <w:t>12</w:t>
          </w:r>
          <w:r>
            <w:fldChar w:fldCharType="end"/>
          </w:r>
          <w:r>
            <w:rPr>
              <w:rFonts w:hint="eastAsia" w:asciiTheme="minorHAnsi" w:hAnsiTheme="minorHAnsi" w:eastAsiaTheme="minorEastAsia" w:cstheme="minorBidi"/>
              <w:kern w:val="2"/>
              <w:szCs w:val="24"/>
              <w:lang w:val="en-US" w:eastAsia="zh-CN" w:bidi="ar-SA"/>
            </w:rPr>
            <w:fldChar w:fldCharType="end"/>
          </w:r>
        </w:p>
        <w:p w14:paraId="29523920">
          <w:pPr>
            <w:pStyle w:val="13"/>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_Toc2741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三、政策支持措施</w:t>
          </w:r>
          <w:r>
            <w:tab/>
          </w:r>
          <w:r>
            <w:fldChar w:fldCharType="begin"/>
          </w:r>
          <w:r>
            <w:instrText xml:space="preserve"> PAGEREF _Toc2741 \h </w:instrText>
          </w:r>
          <w:r>
            <w:fldChar w:fldCharType="separate"/>
          </w:r>
          <w:r>
            <w:t>13</w:t>
          </w:r>
          <w:r>
            <w:fldChar w:fldCharType="end"/>
          </w:r>
          <w:r>
            <w:rPr>
              <w:rFonts w:hint="eastAsia" w:asciiTheme="minorHAnsi" w:hAnsiTheme="minorHAnsi" w:eastAsiaTheme="minorEastAsia" w:cstheme="minorBidi"/>
              <w:kern w:val="2"/>
              <w:szCs w:val="24"/>
              <w:lang w:val="en-US" w:eastAsia="zh-CN" w:bidi="ar-SA"/>
            </w:rPr>
            <w:fldChar w:fldCharType="end"/>
          </w:r>
        </w:p>
        <w:p w14:paraId="7A10AE5D">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_Toc28929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（一）出台包括支持黄梨产业做大做强的高平市现代农业产业高质量发展三年扶持办法</w:t>
          </w:r>
          <w:r>
            <w:tab/>
          </w:r>
          <w:r>
            <w:fldChar w:fldCharType="begin"/>
          </w:r>
          <w:r>
            <w:instrText xml:space="preserve"> PAGEREF _Toc28929 \h </w:instrText>
          </w:r>
          <w:r>
            <w:fldChar w:fldCharType="separate"/>
          </w:r>
          <w:r>
            <w:t>13</w:t>
          </w:r>
          <w:r>
            <w:fldChar w:fldCharType="end"/>
          </w:r>
          <w:r>
            <w:rPr>
              <w:rFonts w:hint="eastAsia" w:asciiTheme="minorHAnsi" w:hAnsiTheme="minorHAnsi" w:eastAsiaTheme="minorEastAsia" w:cstheme="minorBidi"/>
              <w:kern w:val="2"/>
              <w:szCs w:val="24"/>
              <w:lang w:val="en-US" w:eastAsia="zh-CN" w:bidi="ar-SA"/>
            </w:rPr>
            <w:fldChar w:fldCharType="end"/>
          </w:r>
        </w:p>
        <w:p w14:paraId="4305840C">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_Toc18245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（二）完善黄梨种植栽培系统内涵文化传承管理制度</w:t>
          </w:r>
          <w:r>
            <w:tab/>
          </w:r>
          <w:r>
            <w:fldChar w:fldCharType="begin"/>
          </w:r>
          <w:r>
            <w:instrText xml:space="preserve"> PAGEREF _Toc18245 \h </w:instrText>
          </w:r>
          <w:r>
            <w:fldChar w:fldCharType="separate"/>
          </w:r>
          <w:r>
            <w:t>13</w:t>
          </w:r>
          <w:r>
            <w:fldChar w:fldCharType="end"/>
          </w:r>
          <w:r>
            <w:rPr>
              <w:rFonts w:hint="eastAsia" w:asciiTheme="minorHAnsi" w:hAnsiTheme="minorHAnsi" w:eastAsiaTheme="minorEastAsia" w:cstheme="minorBidi"/>
              <w:kern w:val="2"/>
              <w:szCs w:val="24"/>
              <w:lang w:val="en-US" w:eastAsia="zh-CN" w:bidi="ar-SA"/>
            </w:rPr>
            <w:fldChar w:fldCharType="end"/>
          </w:r>
        </w:p>
        <w:p w14:paraId="4AB614D8">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_Toc22704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（三）建立黄梨传统耕作技艺与文化传承工作机制</w:t>
          </w:r>
          <w:r>
            <w:tab/>
          </w:r>
          <w:r>
            <w:fldChar w:fldCharType="begin"/>
          </w:r>
          <w:r>
            <w:instrText xml:space="preserve"> PAGEREF _Toc22704 \h </w:instrText>
          </w:r>
          <w:r>
            <w:fldChar w:fldCharType="separate"/>
          </w:r>
          <w:r>
            <w:t>13</w:t>
          </w:r>
          <w:r>
            <w:fldChar w:fldCharType="end"/>
          </w:r>
          <w:r>
            <w:rPr>
              <w:rFonts w:hint="eastAsia" w:asciiTheme="minorHAnsi" w:hAnsiTheme="minorHAnsi" w:eastAsiaTheme="minorEastAsia" w:cstheme="minorBidi"/>
              <w:kern w:val="2"/>
              <w:szCs w:val="24"/>
              <w:lang w:val="en-US" w:eastAsia="zh-CN" w:bidi="ar-SA"/>
            </w:rPr>
            <w:fldChar w:fldCharType="end"/>
          </w:r>
        </w:p>
        <w:p w14:paraId="628AA147">
          <w:pPr>
            <w:pStyle w:val="13"/>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_Toc6330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四、相关附件</w:t>
          </w:r>
          <w:r>
            <w:tab/>
          </w:r>
          <w:r>
            <w:fldChar w:fldCharType="begin"/>
          </w:r>
          <w:r>
            <w:instrText xml:space="preserve"> PAGEREF _Toc6330 \h </w:instrText>
          </w:r>
          <w:r>
            <w:fldChar w:fldCharType="separate"/>
          </w:r>
          <w:r>
            <w:t>14</w:t>
          </w:r>
          <w:r>
            <w:fldChar w:fldCharType="end"/>
          </w:r>
          <w:r>
            <w:rPr>
              <w:rFonts w:hint="eastAsia" w:asciiTheme="minorHAnsi" w:hAnsiTheme="minorHAnsi" w:eastAsiaTheme="minorEastAsia" w:cstheme="minorBidi"/>
              <w:kern w:val="2"/>
              <w:szCs w:val="24"/>
              <w:lang w:val="en-US" w:eastAsia="zh-CN" w:bidi="ar-SA"/>
            </w:rPr>
            <w:fldChar w:fldCharType="end"/>
          </w:r>
        </w:p>
        <w:p w14:paraId="79ED12E2">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_Toc10479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（一）核心保护区域基本情况表</w:t>
          </w:r>
          <w:r>
            <w:tab/>
          </w:r>
          <w:r>
            <w:fldChar w:fldCharType="begin"/>
          </w:r>
          <w:r>
            <w:instrText xml:space="preserve"> PAGEREF _Toc10479 \h </w:instrText>
          </w:r>
          <w:r>
            <w:fldChar w:fldCharType="separate"/>
          </w:r>
          <w:r>
            <w:t>14</w:t>
          </w:r>
          <w:r>
            <w:fldChar w:fldCharType="end"/>
          </w:r>
          <w:r>
            <w:rPr>
              <w:rFonts w:hint="eastAsia" w:asciiTheme="minorHAnsi" w:hAnsiTheme="minorHAnsi" w:eastAsiaTheme="minorEastAsia" w:cstheme="minorBidi"/>
              <w:kern w:val="2"/>
              <w:szCs w:val="24"/>
              <w:lang w:val="en-US" w:eastAsia="zh-CN" w:bidi="ar-SA"/>
            </w:rPr>
            <w:fldChar w:fldCharType="end"/>
          </w:r>
        </w:p>
        <w:p w14:paraId="4D812DD3">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_Toc16324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（二）核心保护要素清单</w:t>
          </w:r>
          <w:r>
            <w:tab/>
          </w:r>
          <w:r>
            <w:fldChar w:fldCharType="begin"/>
          </w:r>
          <w:r>
            <w:instrText xml:space="preserve"> PAGEREF _Toc16324 \h </w:instrText>
          </w:r>
          <w:r>
            <w:fldChar w:fldCharType="separate"/>
          </w:r>
          <w:r>
            <w:t>14</w:t>
          </w:r>
          <w:r>
            <w:fldChar w:fldCharType="end"/>
          </w:r>
          <w:r>
            <w:rPr>
              <w:rFonts w:hint="eastAsia" w:asciiTheme="minorHAnsi" w:hAnsiTheme="minorHAnsi" w:eastAsiaTheme="minorEastAsia" w:cstheme="minorBidi"/>
              <w:kern w:val="2"/>
              <w:szCs w:val="24"/>
              <w:lang w:val="en-US" w:eastAsia="zh-CN" w:bidi="ar-SA"/>
            </w:rPr>
            <w:fldChar w:fldCharType="end"/>
          </w:r>
        </w:p>
        <w:p w14:paraId="1439107F">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_Toc15252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（三）农耕文化传承人名单</w:t>
          </w:r>
          <w:r>
            <w:tab/>
          </w:r>
          <w:r>
            <w:fldChar w:fldCharType="begin"/>
          </w:r>
          <w:r>
            <w:instrText xml:space="preserve"> PAGEREF _Toc15252 \h </w:instrText>
          </w:r>
          <w:r>
            <w:fldChar w:fldCharType="separate"/>
          </w:r>
          <w:r>
            <w:t>14</w:t>
          </w:r>
          <w:r>
            <w:fldChar w:fldCharType="end"/>
          </w:r>
          <w:r>
            <w:rPr>
              <w:rFonts w:hint="eastAsia" w:asciiTheme="minorHAnsi" w:hAnsiTheme="minorHAnsi" w:eastAsiaTheme="minorEastAsia" w:cstheme="minorBidi"/>
              <w:kern w:val="2"/>
              <w:szCs w:val="24"/>
              <w:lang w:val="en-US" w:eastAsia="zh-CN" w:bidi="ar-SA"/>
            </w:rPr>
            <w:fldChar w:fldCharType="end"/>
          </w:r>
        </w:p>
        <w:p w14:paraId="3C4A2179">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_Toc810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（四）拟实施计划项目清单</w:t>
          </w:r>
          <w:r>
            <w:tab/>
          </w:r>
          <w:r>
            <w:fldChar w:fldCharType="begin"/>
          </w:r>
          <w:r>
            <w:instrText xml:space="preserve"> PAGEREF _Toc810 \h </w:instrText>
          </w:r>
          <w:r>
            <w:fldChar w:fldCharType="separate"/>
          </w:r>
          <w:r>
            <w:t>15</w:t>
          </w:r>
          <w:r>
            <w:fldChar w:fldCharType="end"/>
          </w:r>
          <w:r>
            <w:rPr>
              <w:rFonts w:hint="eastAsia" w:asciiTheme="minorHAnsi" w:hAnsiTheme="minorHAnsi" w:eastAsiaTheme="minorEastAsia" w:cstheme="minorBidi"/>
              <w:kern w:val="2"/>
              <w:szCs w:val="24"/>
              <w:lang w:val="en-US" w:eastAsia="zh-CN" w:bidi="ar-SA"/>
            </w:rPr>
            <w:fldChar w:fldCharType="end"/>
          </w:r>
        </w:p>
        <w:p w14:paraId="6BE1BAD6">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_Toc18310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（五）拟出台政策文件清单</w:t>
          </w:r>
          <w:r>
            <w:tab/>
          </w:r>
          <w:r>
            <w:fldChar w:fldCharType="begin"/>
          </w:r>
          <w:r>
            <w:instrText xml:space="preserve"> PAGEREF _Toc18310 \h </w:instrText>
          </w:r>
          <w:r>
            <w:fldChar w:fldCharType="separate"/>
          </w:r>
          <w:r>
            <w:t>16</w:t>
          </w:r>
          <w:r>
            <w:fldChar w:fldCharType="end"/>
          </w:r>
          <w:r>
            <w:rPr>
              <w:rFonts w:hint="eastAsia" w:asciiTheme="minorHAnsi" w:hAnsiTheme="minorHAnsi" w:eastAsiaTheme="minorEastAsia" w:cstheme="minorBidi"/>
              <w:kern w:val="2"/>
              <w:szCs w:val="24"/>
              <w:lang w:val="en-US" w:eastAsia="zh-CN" w:bidi="ar-SA"/>
            </w:rPr>
            <w:fldChar w:fldCharType="end"/>
          </w:r>
        </w:p>
        <w:p w14:paraId="3515BDC5">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_Toc1154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（六）行动计划编写人员名单</w:t>
          </w:r>
          <w:r>
            <w:tab/>
          </w:r>
          <w:r>
            <w:fldChar w:fldCharType="begin"/>
          </w:r>
          <w:r>
            <w:instrText xml:space="preserve"> PAGEREF _Toc1154 \h </w:instrText>
          </w:r>
          <w:r>
            <w:fldChar w:fldCharType="separate"/>
          </w:r>
          <w:r>
            <w:t>16</w:t>
          </w:r>
          <w:r>
            <w:fldChar w:fldCharType="end"/>
          </w:r>
          <w:r>
            <w:rPr>
              <w:rFonts w:hint="eastAsia" w:asciiTheme="minorHAnsi" w:hAnsiTheme="minorHAnsi" w:eastAsiaTheme="minorEastAsia" w:cstheme="minorBidi"/>
              <w:kern w:val="2"/>
              <w:szCs w:val="24"/>
              <w:lang w:val="en-US" w:eastAsia="zh-CN" w:bidi="ar-SA"/>
            </w:rPr>
            <w:fldChar w:fldCharType="end"/>
          </w:r>
        </w:p>
        <w:p w14:paraId="64E9C2F4">
          <w:pPr>
            <w:pStyle w:val="14"/>
            <w:tabs>
              <w:tab w:val="right" w:leader="dot" w:pos="8306"/>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_Toc23824 </w:instrText>
          </w:r>
          <w:r>
            <w:rPr>
              <w:rFonts w:hint="eastAsia" w:asciiTheme="minorHAnsi" w:hAnsiTheme="minorHAnsi" w:eastAsiaTheme="minorEastAsia" w:cstheme="minorBidi"/>
              <w:kern w:val="2"/>
              <w:szCs w:val="24"/>
              <w:lang w:val="en-US" w:eastAsia="zh-CN" w:bidi="ar-SA"/>
            </w:rPr>
            <w:fldChar w:fldCharType="separate"/>
          </w:r>
          <w:r>
            <w:rPr>
              <w:rFonts w:hint="eastAsia"/>
              <w:lang w:val="en-US" w:eastAsia="zh-CN"/>
            </w:rPr>
            <w:t>（七）行动计划责任分工</w:t>
          </w:r>
          <w:r>
            <w:tab/>
          </w:r>
          <w:r>
            <w:fldChar w:fldCharType="begin"/>
          </w:r>
          <w:r>
            <w:instrText xml:space="preserve"> PAGEREF _Toc23824 \h </w:instrText>
          </w:r>
          <w:r>
            <w:fldChar w:fldCharType="separate"/>
          </w:r>
          <w:r>
            <w:t>16</w:t>
          </w:r>
          <w:r>
            <w:fldChar w:fldCharType="end"/>
          </w:r>
          <w:r>
            <w:rPr>
              <w:rFonts w:hint="eastAsia" w:asciiTheme="minorHAnsi" w:hAnsiTheme="minorHAnsi" w:eastAsiaTheme="minorEastAsia" w:cstheme="minorBidi"/>
              <w:kern w:val="2"/>
              <w:szCs w:val="24"/>
              <w:lang w:val="en-US" w:eastAsia="zh-CN" w:bidi="ar-SA"/>
            </w:rPr>
            <w:fldChar w:fldCharType="end"/>
          </w:r>
        </w:p>
        <w:p w14:paraId="11C8C5A7">
          <w:pPr>
            <w:bidi w:val="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Cs w:val="24"/>
              <w:lang w:val="en-US" w:eastAsia="zh-CN" w:bidi="ar-SA"/>
            </w:rPr>
            <w:fldChar w:fldCharType="end"/>
          </w:r>
        </w:p>
      </w:sdtContent>
    </w:sdt>
    <w:p w14:paraId="07E2F512">
      <w:pPr>
        <w:bidi w:val="0"/>
        <w:rPr>
          <w:rFonts w:hint="eastAsia" w:asciiTheme="minorHAnsi" w:hAnsiTheme="minorHAnsi" w:eastAsiaTheme="minorEastAsia" w:cstheme="minorBidi"/>
          <w:kern w:val="2"/>
          <w:sz w:val="21"/>
          <w:szCs w:val="24"/>
          <w:lang w:val="en-US" w:eastAsia="zh-CN" w:bidi="ar-SA"/>
        </w:rPr>
      </w:pPr>
    </w:p>
    <w:p w14:paraId="536BFD5A">
      <w:pPr>
        <w:pStyle w:val="2"/>
        <w:bidi w:val="0"/>
        <w:rPr>
          <w:rFonts w:hint="eastAsia"/>
          <w:lang w:val="en-US" w:eastAsia="zh-CN"/>
        </w:rPr>
        <w:sectPr>
          <w:footerReference r:id="rId3" w:type="default"/>
          <w:pgSz w:w="11906" w:h="16838"/>
          <w:pgMar w:top="1440" w:right="1800" w:bottom="1440" w:left="1800" w:header="851" w:footer="992" w:gutter="0"/>
          <w:pgNumType w:fmt="decimal" w:start="1"/>
          <w:cols w:space="0" w:num="1"/>
          <w:rtlGutter w:val="0"/>
          <w:docGrid w:type="lines" w:linePitch="312" w:charSpace="0"/>
        </w:sectPr>
      </w:pPr>
    </w:p>
    <w:p w14:paraId="05EE6AF5">
      <w:pPr>
        <w:pStyle w:val="2"/>
        <w:pageBreakBefore w:val="0"/>
        <w:widowControl w:val="0"/>
        <w:kinsoku/>
        <w:wordWrap/>
        <w:overflowPunct/>
        <w:topLinePunct w:val="0"/>
        <w:autoSpaceDE/>
        <w:autoSpaceDN/>
        <w:bidi w:val="0"/>
        <w:spacing w:before="0" w:beforeLines="0" w:beforeAutospacing="0" w:after="0" w:afterLines="0" w:afterAutospacing="0" w:line="560" w:lineRule="exact"/>
        <w:ind w:firstLine="640" w:firstLineChars="200"/>
        <w:jc w:val="both"/>
        <w:textAlignment w:val="auto"/>
        <w:rPr>
          <w:rFonts w:hint="eastAsia" w:ascii="黑体" w:hAnsi="黑体" w:eastAsia="黑体" w:cs="黑体"/>
          <w:b w:val="0"/>
          <w:bCs/>
          <w:sz w:val="32"/>
          <w:szCs w:val="32"/>
        </w:rPr>
      </w:pPr>
      <w:bookmarkStart w:id="1" w:name="_Toc2198"/>
      <w:r>
        <w:rPr>
          <w:rFonts w:hint="eastAsia" w:ascii="黑体" w:hAnsi="黑体" w:eastAsia="黑体" w:cs="黑体"/>
          <w:b w:val="0"/>
          <w:bCs/>
          <w:sz w:val="32"/>
          <w:szCs w:val="32"/>
          <w:lang w:val="en-US" w:eastAsia="zh-CN"/>
        </w:rPr>
        <w:t>一、农业文化遗产本底情况</w:t>
      </w:r>
      <w:bookmarkEnd w:id="1"/>
      <w:r>
        <w:rPr>
          <w:rFonts w:hint="eastAsia" w:ascii="黑体" w:hAnsi="黑体" w:eastAsia="黑体" w:cs="黑体"/>
          <w:b w:val="0"/>
          <w:bCs/>
          <w:sz w:val="32"/>
          <w:szCs w:val="32"/>
          <w:lang w:val="en-US" w:eastAsia="zh-CN"/>
        </w:rPr>
        <w:t xml:space="preserve"> </w:t>
      </w:r>
    </w:p>
    <w:p w14:paraId="6BE15D29">
      <w:pPr>
        <w:pageBreakBefore w:val="0"/>
        <w:widowControl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平是神农炎帝故里，是中华农耕文明发源地。高平大黄梨是高平市国家地理标志产品，是农耕文明的重要组成部分，在我市拥有悠久的种植历史，内含丰富的农耕种植文化。为了保护黄梨物种，传承黄梨种植文化，做好黄梨特色产业，让高平大黄梨成为延续农耕文明、传承文化记忆、带动群众增收致富的介质农产品。</w:t>
      </w:r>
    </w:p>
    <w:p w14:paraId="1625CC54">
      <w:pPr>
        <w:pStyle w:val="3"/>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楷体" w:hAnsi="楷体" w:eastAsia="楷体" w:cs="楷体"/>
          <w:sz w:val="32"/>
          <w:szCs w:val="32"/>
          <w:lang w:val="en-US" w:eastAsia="zh-CN"/>
        </w:rPr>
      </w:pPr>
      <w:bookmarkStart w:id="2" w:name="_Toc1776"/>
      <w:r>
        <w:rPr>
          <w:rFonts w:hint="eastAsia" w:ascii="楷体" w:hAnsi="楷体" w:eastAsia="楷体" w:cs="楷体"/>
          <w:sz w:val="32"/>
          <w:szCs w:val="32"/>
          <w:lang w:val="en-US" w:eastAsia="zh-CN"/>
        </w:rPr>
        <w:t>（一）主要分布区域情况</w:t>
      </w:r>
      <w:bookmarkEnd w:id="2"/>
      <w:r>
        <w:rPr>
          <w:rFonts w:hint="eastAsia" w:ascii="楷体" w:hAnsi="楷体" w:eastAsia="楷体" w:cs="楷体"/>
          <w:sz w:val="32"/>
          <w:szCs w:val="32"/>
          <w:lang w:val="en-US" w:eastAsia="zh-CN"/>
        </w:rPr>
        <w:t xml:space="preserve"> </w:t>
      </w:r>
    </w:p>
    <w:p w14:paraId="0F2C3851">
      <w:pPr>
        <w:pStyle w:val="16"/>
        <w:keepNext w:val="0"/>
        <w:keepLines w:val="0"/>
        <w:pageBreakBefore w:val="0"/>
        <w:widowControl w:val="0"/>
        <w:kinsoku/>
        <w:wordWrap/>
        <w:overflowPunct/>
        <w:topLinePunct w:val="0"/>
        <w:autoSpaceDE/>
        <w:autoSpaceDN/>
        <w:bidi w:val="0"/>
        <w:spacing w:beforeAutospacing="0" w:after="0" w:afterLines="0" w:afterAutospacing="0" w:line="560" w:lineRule="exact"/>
        <w:ind w:left="0" w:leftChars="0" w:firstLine="640" w:firstLineChars="20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sz w:val="32"/>
          <w:szCs w:val="32"/>
          <w:lang w:val="en-US" w:eastAsia="zh-CN"/>
        </w:rPr>
        <w:t>山西高平黄梨栽培</w:t>
      </w:r>
      <w:r>
        <w:rPr>
          <w:rFonts w:hint="eastAsia" w:ascii="仿宋_GB2312" w:hAnsi="仿宋" w:eastAsia="仿宋_GB2312"/>
          <w:sz w:val="32"/>
          <w:szCs w:val="32"/>
        </w:rPr>
        <w:t>系统</w:t>
      </w:r>
      <w:r>
        <w:rPr>
          <w:rFonts w:hint="eastAsia" w:ascii="仿宋_GB2312" w:hAnsi="仿宋" w:eastAsia="仿宋_GB2312"/>
          <w:sz w:val="32"/>
          <w:szCs w:val="32"/>
          <w:lang w:eastAsia="zh-CN"/>
        </w:rPr>
        <w:t>集中</w:t>
      </w:r>
      <w:r>
        <w:rPr>
          <w:rFonts w:hint="eastAsia" w:ascii="仿宋_GB2312" w:hAnsi="仿宋" w:eastAsia="仿宋_GB2312"/>
          <w:sz w:val="32"/>
          <w:szCs w:val="32"/>
        </w:rPr>
        <w:t>分布</w:t>
      </w:r>
      <w:r>
        <w:rPr>
          <w:rFonts w:hint="eastAsia" w:ascii="仿宋_GB2312" w:hAnsi="仿宋" w:eastAsia="仿宋_GB2312"/>
          <w:sz w:val="32"/>
          <w:szCs w:val="32"/>
          <w:lang w:eastAsia="zh-CN"/>
        </w:rPr>
        <w:t>于我市西部、西北部、北部、东北部、东部</w:t>
      </w:r>
      <w:r>
        <w:rPr>
          <w:rFonts w:hint="eastAsia" w:ascii="仿宋_GB2312" w:hAnsi="仿宋" w:eastAsia="仿宋_GB2312"/>
          <w:sz w:val="32"/>
          <w:szCs w:val="32"/>
        </w:rPr>
        <w:t>区域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 w:eastAsia="仿宋_GB2312"/>
          <w:sz w:val="32"/>
          <w:szCs w:val="32"/>
        </w:rPr>
        <w:t>涉及</w:t>
      </w:r>
      <w:r>
        <w:rPr>
          <w:rFonts w:hint="eastAsia" w:ascii="仿宋_GB2312" w:hAnsi="仿宋_GB2312" w:eastAsia="仿宋_GB2312" w:cs="仿宋_GB2312"/>
          <w:color w:val="000000" w:themeColor="text1"/>
          <w:sz w:val="32"/>
          <w:szCs w:val="32"/>
          <w14:textFill>
            <w14:solidFill>
              <w14:schemeClr w14:val="tx1"/>
            </w14:solidFill>
          </w14:textFill>
        </w:rPr>
        <w:t>陈区镇、寺庄镇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野川镇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神农镇、建宁乡、三甲镇、马村镇、东城办、南城办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和北城办</w:t>
      </w:r>
      <w:r>
        <w:rPr>
          <w:rFonts w:hint="eastAsia" w:ascii="仿宋_GB2312" w:hAnsi="仿宋" w:eastAsia="仿宋_GB2312"/>
          <w:sz w:val="32"/>
          <w:szCs w:val="32"/>
          <w:lang w:val="en-US" w:eastAsia="zh-CN"/>
        </w:rPr>
        <w:t>十</w:t>
      </w:r>
      <w:r>
        <w:rPr>
          <w:rFonts w:hint="eastAsia" w:ascii="仿宋_GB2312" w:hAnsi="仿宋" w:eastAsia="仿宋_GB2312"/>
          <w:sz w:val="32"/>
          <w:szCs w:val="32"/>
        </w:rPr>
        <w:t>个乡镇，</w:t>
      </w:r>
      <w:r>
        <w:rPr>
          <w:rFonts w:ascii="仿宋_GB2312" w:hAnsi="仿宋" w:eastAsia="仿宋_GB2312"/>
          <w:color w:val="000000" w:themeColor="text1"/>
          <w:sz w:val="32"/>
          <w:szCs w:val="32"/>
          <w14:textFill>
            <w14:solidFill>
              <w14:schemeClr w14:val="tx1"/>
            </w14:solidFill>
          </w14:textFill>
        </w:rPr>
        <w:t>总面积</w:t>
      </w:r>
      <w:r>
        <w:rPr>
          <w:rFonts w:hint="eastAsia" w:ascii="仿宋_GB2312" w:hAnsi="仿宋" w:eastAsia="仿宋_GB2312"/>
          <w:color w:val="000000" w:themeColor="text1"/>
          <w:sz w:val="32"/>
          <w:szCs w:val="32"/>
          <w:lang w:val="en-US" w:eastAsia="zh-CN"/>
          <w14:textFill>
            <w14:solidFill>
              <w14:schemeClr w14:val="tx1"/>
            </w14:solidFill>
          </w14:textFill>
        </w:rPr>
        <w:t>589.8</w:t>
      </w:r>
      <w:r>
        <w:rPr>
          <w:rFonts w:ascii="仿宋_GB2312" w:hAnsi="仿宋" w:eastAsia="仿宋_GB2312"/>
          <w:color w:val="000000" w:themeColor="text1"/>
          <w:sz w:val="32"/>
          <w:szCs w:val="32"/>
          <w14:textFill>
            <w14:solidFill>
              <w14:schemeClr w14:val="tx1"/>
            </w14:solidFill>
          </w14:textFill>
        </w:rPr>
        <w:t>平方公里</w:t>
      </w:r>
      <w:r>
        <w:rPr>
          <w:rFonts w:hint="eastAsia" w:ascii="仿宋_GB2312" w:hAnsi="仿宋" w:eastAsia="仿宋_GB2312"/>
          <w:color w:val="000000" w:themeColor="text1"/>
          <w:sz w:val="32"/>
          <w:szCs w:val="32"/>
          <w:lang w:eastAsia="zh-CN"/>
          <w14:textFill>
            <w14:solidFill>
              <w14:schemeClr w14:val="tx1"/>
            </w14:solidFill>
          </w14:textFill>
        </w:rPr>
        <w:t>，占全总面积的</w:t>
      </w:r>
      <w:r>
        <w:rPr>
          <w:rFonts w:hint="eastAsia" w:ascii="仿宋_GB2312" w:hAnsi="仿宋" w:eastAsia="仿宋_GB2312"/>
          <w:color w:val="000000" w:themeColor="text1"/>
          <w:sz w:val="32"/>
          <w:szCs w:val="32"/>
          <w:lang w:val="en-US" w:eastAsia="zh-CN"/>
          <w14:textFill>
            <w14:solidFill>
              <w14:schemeClr w14:val="tx1"/>
            </w14:solidFill>
          </w14:textFill>
        </w:rPr>
        <w:t>60%，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如图1所示</w:t>
      </w:r>
      <w:r>
        <w:rPr>
          <w:rFonts w:ascii="仿宋_GB2312" w:hAnsi="仿宋" w:eastAsia="仿宋_GB2312"/>
          <w:color w:val="000000" w:themeColor="text1"/>
          <w:sz w:val="32"/>
          <w:szCs w:val="32"/>
          <w14:textFill>
            <w14:solidFill>
              <w14:schemeClr w14:val="tx1"/>
            </w14:solidFill>
          </w14:textFill>
        </w:rPr>
        <w:t>。</w:t>
      </w:r>
    </w:p>
    <w:p w14:paraId="502A119C">
      <w:pPr>
        <w:pStyle w:val="16"/>
        <w:keepNext w:val="0"/>
        <w:keepLines w:val="0"/>
        <w:pageBreakBefore w:val="0"/>
        <w:widowControl w:val="0"/>
        <w:kinsoku/>
        <w:wordWrap/>
        <w:overflowPunct/>
        <w:topLinePunct w:val="0"/>
        <w:autoSpaceDE/>
        <w:autoSpaceDN/>
        <w:bidi w:val="0"/>
        <w:spacing w:beforeAutospacing="0" w:after="0" w:afterLines="0" w:afterAutospacing="0" w:line="560" w:lineRule="exact"/>
        <w:ind w:left="0" w:leftChars="0" w:firstLine="640" w:firstLineChars="200"/>
        <w:jc w:val="both"/>
        <w:textAlignment w:val="auto"/>
        <w:rPr>
          <w:rFonts w:ascii="楷体_GB2312" w:hAnsi="楷体_GB2312" w:eastAsia="仿宋_GB2312" w:cs="楷体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目前，全市黄梨规模化种植面积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万亩，其中老黄梨树约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万亩，主要分布在寺庄、野川等乡镇，</w:t>
      </w:r>
      <w:r>
        <w:rPr>
          <w:rFonts w:hint="eastAsia" w:ascii="仿宋_GB2312" w:hAnsi="仿宋_GB2312" w:eastAsia="仿宋_GB2312" w:cs="仿宋_GB2312"/>
          <w:color w:val="000000" w:themeColor="text1"/>
          <w:sz w:val="32"/>
          <w:szCs w:val="32"/>
          <w14:textFill>
            <w14:solidFill>
              <w14:schemeClr w14:val="tx1"/>
            </w14:solidFill>
          </w14:textFill>
        </w:rPr>
        <w:t>具有抗性强</w:t>
      </w:r>
      <w:r>
        <w:rPr>
          <w:rFonts w:ascii="仿宋_GB2312" w:hAnsi="仿宋_GB2312" w:eastAsia="仿宋_GB2312" w:cs="仿宋_GB2312"/>
          <w:color w:val="000000" w:themeColor="text1"/>
          <w:sz w:val="32"/>
          <w:szCs w:val="32"/>
          <w14:textFill>
            <w14:solidFill>
              <w14:schemeClr w14:val="tx1"/>
            </w14:solidFill>
          </w14:textFill>
        </w:rPr>
        <w:t>尤其抗腐烂病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树</w:t>
      </w:r>
      <w:r>
        <w:rPr>
          <w:rFonts w:ascii="仿宋_GB2312" w:hAnsi="仿宋_GB2312" w:eastAsia="仿宋_GB2312" w:cs="仿宋_GB2312"/>
          <w:color w:val="000000" w:themeColor="text1"/>
          <w:sz w:val="32"/>
          <w:szCs w:val="32"/>
          <w14:textFill>
            <w14:solidFill>
              <w14:schemeClr w14:val="tx1"/>
            </w14:solidFill>
          </w14:textFill>
        </w:rPr>
        <w:t>势中庸易管理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丰产性好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果实酚类物质</w:t>
      </w:r>
      <w:r>
        <w:rPr>
          <w:rFonts w:hint="eastAsia" w:ascii="仿宋_GB2312" w:hAnsi="仿宋_GB2312" w:eastAsia="仿宋_GB2312" w:cs="仿宋_GB2312"/>
          <w:color w:val="000000" w:themeColor="text1"/>
          <w:sz w:val="32"/>
          <w:szCs w:val="32"/>
          <w14:textFill>
            <w14:solidFill>
              <w14:schemeClr w14:val="tx1"/>
            </w14:solidFill>
          </w14:textFill>
        </w:rPr>
        <w:t>丰富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功能性</w:t>
      </w:r>
      <w:r>
        <w:rPr>
          <w:rFonts w:ascii="仿宋_GB2312" w:hAnsi="仿宋_GB2312" w:eastAsia="仿宋_GB2312" w:cs="仿宋_GB2312"/>
          <w:color w:val="000000" w:themeColor="text1"/>
          <w:sz w:val="32"/>
          <w:szCs w:val="32"/>
          <w14:textFill>
            <w14:solidFill>
              <w14:schemeClr w14:val="tx1"/>
            </w14:solidFill>
          </w14:textFill>
        </w:rPr>
        <w:t>物质含量高</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ascii="仿宋_GB2312" w:hAnsi="仿宋_GB2312" w:eastAsia="仿宋_GB2312" w:cs="仿宋_GB2312"/>
          <w:color w:val="000000" w:themeColor="text1"/>
          <w:sz w:val="32"/>
          <w:szCs w:val="32"/>
          <w14:textFill>
            <w14:solidFill>
              <w14:schemeClr w14:val="tx1"/>
            </w14:solidFill>
          </w14:textFill>
        </w:rPr>
        <w:t>特点</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符合</w:t>
      </w:r>
      <w:r>
        <w:rPr>
          <w:rFonts w:ascii="仿宋_GB2312" w:hAnsi="仿宋_GB2312" w:eastAsia="仿宋_GB2312" w:cs="仿宋_GB2312"/>
          <w:color w:val="000000" w:themeColor="text1"/>
          <w:sz w:val="32"/>
          <w:szCs w:val="32"/>
          <w14:textFill>
            <w14:solidFill>
              <w14:schemeClr w14:val="tx1"/>
            </w14:solidFill>
          </w14:textFill>
        </w:rPr>
        <w:t>当前品种选择的“好管</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健康”标准，</w:t>
      </w:r>
      <w:r>
        <w:rPr>
          <w:rFonts w:hint="eastAsia" w:ascii="仿宋_GB2312" w:hAnsi="仿宋_GB2312" w:eastAsia="仿宋_GB2312" w:cs="仿宋_GB2312"/>
          <w:color w:val="000000" w:themeColor="text1"/>
          <w:sz w:val="32"/>
          <w:szCs w:val="32"/>
          <w14:textFill>
            <w14:solidFill>
              <w14:schemeClr w14:val="tx1"/>
            </w14:solidFill>
          </w14:textFill>
        </w:rPr>
        <w:t>为高平产量</w:t>
      </w:r>
      <w:r>
        <w:rPr>
          <w:rFonts w:hint="eastAsia" w:ascii="仿宋_GB2312" w:hAnsi="仿宋_GB2312" w:eastAsia="仿宋_GB2312" w:cs="仿宋_GB2312"/>
          <w:color w:val="000000" w:themeColor="text1"/>
          <w:sz w:val="32"/>
          <w:szCs w:val="32"/>
          <w:lang w:eastAsia="zh-CN"/>
          <w14:textFill>
            <w14:solidFill>
              <w14:schemeClr w14:val="tx1"/>
            </w14:solidFill>
          </w14:textFill>
        </w:rPr>
        <w:t>黄梨</w:t>
      </w:r>
      <w:r>
        <w:rPr>
          <w:rFonts w:hint="eastAsia" w:ascii="仿宋_GB2312" w:hAnsi="仿宋_GB2312" w:eastAsia="仿宋_GB2312" w:cs="仿宋_GB2312"/>
          <w:color w:val="000000" w:themeColor="text1"/>
          <w:sz w:val="32"/>
          <w:szCs w:val="32"/>
          <w14:textFill>
            <w14:solidFill>
              <w14:schemeClr w14:val="tx1"/>
            </w14:solidFill>
          </w14:textFill>
        </w:rPr>
        <w:t>快速</w:t>
      </w:r>
      <w:r>
        <w:rPr>
          <w:rFonts w:hint="eastAsia" w:ascii="仿宋_GB2312" w:hAnsi="仿宋_GB2312" w:eastAsia="仿宋_GB2312" w:cs="仿宋_GB2312"/>
          <w:color w:val="000000" w:themeColor="text1"/>
          <w:sz w:val="32"/>
          <w:szCs w:val="32"/>
          <w:lang w:eastAsia="zh-CN"/>
          <w14:textFill>
            <w14:solidFill>
              <w14:schemeClr w14:val="tx1"/>
            </w14:solidFill>
          </w14:textFill>
        </w:rPr>
        <w:t>提高</w:t>
      </w:r>
      <w:r>
        <w:rPr>
          <w:rFonts w:hint="eastAsia" w:ascii="仿宋_GB2312" w:hAnsi="仿宋_GB2312" w:eastAsia="仿宋_GB2312" w:cs="仿宋_GB2312"/>
          <w:color w:val="000000" w:themeColor="text1"/>
          <w:sz w:val="32"/>
          <w:szCs w:val="32"/>
          <w14:textFill>
            <w14:solidFill>
              <w14:schemeClr w14:val="tx1"/>
            </w14:solidFill>
          </w14:textFill>
        </w:rPr>
        <w:t>和新品种选育提供了巨大的潜力和难得的</w:t>
      </w:r>
      <w:r>
        <w:rPr>
          <w:rFonts w:hint="eastAsia" w:ascii="仿宋_GB2312" w:hAnsi="仿宋_GB2312" w:eastAsia="仿宋_GB2312" w:cs="仿宋_GB2312"/>
          <w:color w:val="000000" w:themeColor="text1"/>
          <w:sz w:val="32"/>
          <w:szCs w:val="32"/>
          <w:lang w:eastAsia="zh-CN"/>
          <w14:textFill>
            <w14:solidFill>
              <w14:schemeClr w14:val="tx1"/>
            </w14:solidFill>
          </w14:textFill>
        </w:rPr>
        <w:t>种子资源</w:t>
      </w:r>
      <w:r>
        <w:rPr>
          <w:rFonts w:hint="eastAsia" w:ascii="仿宋_GB2312" w:hAnsi="仿宋_GB2312" w:eastAsia="仿宋_GB2312" w:cs="仿宋_GB2312"/>
          <w:color w:val="000000" w:themeColor="text1"/>
          <w:sz w:val="32"/>
          <w:szCs w:val="32"/>
          <w14:textFill>
            <w14:solidFill>
              <w14:schemeClr w14:val="tx1"/>
            </w14:solidFill>
          </w14:textFill>
        </w:rPr>
        <w:t>。</w:t>
      </w:r>
    </w:p>
    <w:p w14:paraId="73B7EC33">
      <w:pPr>
        <w:pageBreakBefore w:val="0"/>
        <w:widowControl w:val="0"/>
        <w:kinsoku/>
        <w:wordWrap/>
        <w:overflowPunct/>
        <w:topLinePunct w:val="0"/>
        <w:autoSpaceDE/>
        <w:autoSpaceDN/>
        <w:bidi w:val="0"/>
        <w:spacing w:beforeAutospacing="0" w:afterAutospacing="0" w:line="560" w:lineRule="exact"/>
        <w:jc w:val="center"/>
        <w:textAlignment w:val="auto"/>
        <w:rPr>
          <w:rFonts w:hint="default" w:ascii="仿宋_GB2312" w:hAnsi="仿宋_GB2312" w:eastAsia="仿宋_GB2312" w:cs="仿宋_GB2312"/>
          <w:bCs/>
          <w:color w:val="000000"/>
          <w:kern w:val="0"/>
          <w:sz w:val="32"/>
          <w:szCs w:val="32"/>
          <w:lang w:val="en-US" w:eastAsia="zh-CN"/>
        </w:rPr>
      </w:pPr>
      <w:r>
        <w:rPr>
          <w:rFonts w:ascii="黑体" w:hAnsi="黑体" w:eastAsia="黑体" w:cs="黑体"/>
          <w:b/>
          <w:bCs/>
          <w:color w:val="000000" w:themeColor="text1"/>
          <w:sz w:val="32"/>
          <w:szCs w:val="32"/>
          <w14:textFill>
            <w14:solidFill>
              <w14:schemeClr w14:val="tx1"/>
            </w14:solidFill>
          </w14:textFill>
        </w:rPr>
        <w:drawing>
          <wp:anchor distT="0" distB="0" distL="0" distR="0" simplePos="0" relativeHeight="251660288" behindDoc="1" locked="0" layoutInCell="1" allowOverlap="1">
            <wp:simplePos x="0" y="0"/>
            <wp:positionH relativeFrom="column">
              <wp:posOffset>-50165</wp:posOffset>
            </wp:positionH>
            <wp:positionV relativeFrom="paragraph">
              <wp:posOffset>298450</wp:posOffset>
            </wp:positionV>
            <wp:extent cx="5388610" cy="3598545"/>
            <wp:effectExtent l="0" t="0" r="2540" b="1905"/>
            <wp:wrapThrough wrapText="bothSides">
              <wp:wrapPolygon>
                <wp:start x="0" y="0"/>
                <wp:lineTo x="0" y="21497"/>
                <wp:lineTo x="21534" y="21497"/>
                <wp:lineTo x="21534"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88610" cy="3598545"/>
                    </a:xfrm>
                    <a:prstGeom prst="rect">
                      <a:avLst/>
                    </a:prstGeom>
                    <a:noFill/>
                    <a:ln>
                      <a:noFill/>
                    </a:ln>
                  </pic:spPr>
                </pic:pic>
              </a:graphicData>
            </a:graphic>
          </wp:anchor>
        </w:drawing>
      </w:r>
      <w:r>
        <w:rPr>
          <w:rFonts w:hint="eastAsia" w:ascii="仿宋_GB2312" w:hAnsi="仿宋_GB2312" w:eastAsia="仿宋_GB2312" w:cs="仿宋_GB2312"/>
          <w:b/>
          <w:bCs/>
          <w:color w:val="000000"/>
          <w:kern w:val="0"/>
          <w:sz w:val="32"/>
          <w:szCs w:val="32"/>
          <w:lang w:val="en-US" w:eastAsia="zh-CN"/>
        </w:rPr>
        <w:t>图1  主要分布区域范围</w:t>
      </w:r>
    </w:p>
    <w:p w14:paraId="0DBFB006">
      <w:pPr>
        <w:pStyle w:val="3"/>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楷体" w:hAnsi="楷体" w:eastAsia="楷体" w:cs="楷体"/>
          <w:sz w:val="32"/>
          <w:szCs w:val="32"/>
          <w:lang w:val="en-US" w:eastAsia="zh-CN"/>
        </w:rPr>
      </w:pPr>
      <w:bookmarkStart w:id="3" w:name="_Toc2528"/>
      <w:r>
        <w:rPr>
          <w:rFonts w:hint="eastAsia" w:ascii="楷体" w:hAnsi="楷体" w:eastAsia="楷体" w:cs="楷体"/>
          <w:sz w:val="32"/>
          <w:szCs w:val="32"/>
          <w:lang w:val="en-US" w:eastAsia="zh-CN"/>
        </w:rPr>
        <w:t>（二）核心保护区域分布情况</w:t>
      </w:r>
      <w:bookmarkEnd w:id="3"/>
      <w:r>
        <w:rPr>
          <w:rFonts w:hint="eastAsia" w:ascii="楷体" w:hAnsi="楷体" w:eastAsia="楷体" w:cs="楷体"/>
          <w:sz w:val="32"/>
          <w:szCs w:val="32"/>
          <w:lang w:val="en-US" w:eastAsia="zh-CN"/>
        </w:rPr>
        <w:t xml:space="preserve"> </w:t>
      </w:r>
      <w:bookmarkStart w:id="4" w:name="OLE_LINK40"/>
    </w:p>
    <w:p w14:paraId="71439C54">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 w:eastAsia="仿宋_GB2312"/>
          <w:sz w:val="32"/>
          <w:szCs w:val="32"/>
          <w:lang w:val="en-US" w:eastAsia="zh-CN"/>
        </w:rPr>
        <w:t>山西高平黄梨栽培</w:t>
      </w:r>
      <w:r>
        <w:rPr>
          <w:rFonts w:hint="eastAsia" w:ascii="仿宋_GB2312" w:hAnsi="仿宋" w:eastAsia="仿宋_GB2312"/>
          <w:sz w:val="32"/>
          <w:szCs w:val="32"/>
        </w:rPr>
        <w:t>系统核心保护区域</w:t>
      </w:r>
      <w:bookmarkEnd w:id="4"/>
      <w:r>
        <w:rPr>
          <w:rFonts w:hint="eastAsia" w:ascii="仿宋_GB2312" w:hAnsi="仿宋_GB2312" w:eastAsia="仿宋_GB2312" w:cs="仿宋_GB2312"/>
          <w:sz w:val="32"/>
          <w:szCs w:val="32"/>
          <w:lang w:val="en-US" w:eastAsia="zh-CN"/>
        </w:rPr>
        <w:t>共5个村，分别是：陈区镇铁炉村，寺庄镇芦家峪村，寺庄镇釜山村，寺庄镇李家河村和野川镇杜寨村。</w:t>
      </w:r>
    </w:p>
    <w:p w14:paraId="64E43E3D">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p>
    <w:p w14:paraId="687D9A61">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p>
    <w:p w14:paraId="7346D78C">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p>
    <w:p w14:paraId="52DCBAD6">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p>
    <w:p w14:paraId="69DB3AFF">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Theme="minorEastAsia" w:hAnsiTheme="minorEastAsia" w:eastAsiaTheme="minorEastAsia" w:cstheme="minorEastAsia"/>
          <w:bCs/>
          <w:color w:val="000000"/>
          <w:kern w:val="0"/>
          <w:sz w:val="24"/>
          <w:szCs w:val="24"/>
          <w:lang w:val="en-US" w:eastAsia="zh-CN"/>
        </w:rPr>
        <w:drawing>
          <wp:anchor distT="0" distB="0" distL="114300" distR="114300" simplePos="0" relativeHeight="251661312" behindDoc="1" locked="0" layoutInCell="1" allowOverlap="1">
            <wp:simplePos x="0" y="0"/>
            <wp:positionH relativeFrom="column">
              <wp:posOffset>191135</wp:posOffset>
            </wp:positionH>
            <wp:positionV relativeFrom="paragraph">
              <wp:posOffset>-93980</wp:posOffset>
            </wp:positionV>
            <wp:extent cx="4923790" cy="3364865"/>
            <wp:effectExtent l="0" t="0" r="10160" b="6985"/>
            <wp:wrapThrough wrapText="bothSides">
              <wp:wrapPolygon>
                <wp:start x="0" y="0"/>
                <wp:lineTo x="0" y="21523"/>
                <wp:lineTo x="21477" y="21523"/>
                <wp:lineTo x="21477" y="0"/>
                <wp:lineTo x="0" y="0"/>
              </wp:wrapPolygon>
            </wp:wrapThrough>
            <wp:docPr id="101" name="图片 101" descr="d8503512a7d3c5ea9e448283eca67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d8503512a7d3c5ea9e448283eca670f"/>
                    <pic:cNvPicPr>
                      <a:picLocks noChangeAspect="1"/>
                    </pic:cNvPicPr>
                  </pic:nvPicPr>
                  <pic:blipFill>
                    <a:blip r:embed="rId7"/>
                    <a:srcRect t="3374"/>
                    <a:stretch>
                      <a:fillRect/>
                    </a:stretch>
                  </pic:blipFill>
                  <pic:spPr>
                    <a:xfrm>
                      <a:off x="0" y="0"/>
                      <a:ext cx="4923790" cy="3364865"/>
                    </a:xfrm>
                    <a:prstGeom prst="rect">
                      <a:avLst/>
                    </a:prstGeom>
                  </pic:spPr>
                </pic:pic>
              </a:graphicData>
            </a:graphic>
          </wp:anchor>
        </w:drawing>
      </w:r>
    </w:p>
    <w:p w14:paraId="69BFA012">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图2  高平市黄梨种植分布及核心保护区域图</w:t>
      </w:r>
    </w:p>
    <w:p w14:paraId="50B52C33">
      <w:pPr>
        <w:pStyle w:val="3"/>
        <w:pageBreakBefore w:val="0"/>
        <w:widowControl w:val="0"/>
        <w:numPr>
          <w:ilvl w:val="0"/>
          <w:numId w:val="2"/>
        </w:numPr>
        <w:kinsoku/>
        <w:wordWrap/>
        <w:overflowPunct/>
        <w:topLinePunct w:val="0"/>
        <w:autoSpaceDE/>
        <w:autoSpaceDN/>
        <w:bidi w:val="0"/>
        <w:spacing w:before="0" w:beforeAutospacing="0" w:after="0" w:afterAutospacing="0" w:line="560" w:lineRule="exact"/>
        <w:ind w:firstLine="723" w:firstLineChars="200"/>
        <w:jc w:val="both"/>
        <w:textAlignment w:val="auto"/>
        <w:rPr>
          <w:rFonts w:hint="eastAsia" w:ascii="楷体" w:hAnsi="楷体" w:eastAsia="楷体" w:cs="楷体"/>
          <w:lang w:val="en-US" w:eastAsia="zh-CN"/>
        </w:rPr>
      </w:pPr>
      <w:bookmarkStart w:id="5" w:name="_Toc27204"/>
      <w:r>
        <w:rPr>
          <w:rFonts w:hint="eastAsia" w:ascii="楷体" w:hAnsi="楷体" w:eastAsia="楷体" w:cs="楷体"/>
          <w:lang w:val="en-US" w:eastAsia="zh-CN"/>
        </w:rPr>
        <w:t>区域主要指标对比分析</w:t>
      </w:r>
      <w:bookmarkEnd w:id="5"/>
      <w:r>
        <w:rPr>
          <w:rFonts w:hint="eastAsia" w:ascii="楷体" w:hAnsi="楷体" w:eastAsia="楷体" w:cs="楷体"/>
          <w:lang w:val="en-US" w:eastAsia="zh-CN"/>
        </w:rPr>
        <w:t xml:space="preserve"> </w:t>
      </w:r>
    </w:p>
    <w:p w14:paraId="6C7F4B7D">
      <w:pPr>
        <w:pStyle w:val="4"/>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sz w:val="32"/>
          <w:szCs w:val="32"/>
          <w:lang w:val="en-US" w:eastAsia="zh-CN"/>
        </w:rPr>
      </w:pPr>
      <w:bookmarkStart w:id="6" w:name="_Toc9199"/>
      <w:r>
        <w:rPr>
          <w:rFonts w:hint="eastAsia"/>
          <w:sz w:val="32"/>
          <w:szCs w:val="32"/>
          <w:lang w:val="en-US" w:eastAsia="zh-CN"/>
        </w:rPr>
        <w:t>1.核心保护区域</w:t>
      </w:r>
      <w:bookmarkEnd w:id="6"/>
    </w:p>
    <w:p w14:paraId="259630A8">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微软雅黑" w:eastAsia="仿宋_GB2312" w:cs="仿宋_GB2312"/>
          <w:color w:val="000000"/>
          <w:sz w:val="32"/>
          <w:szCs w:val="32"/>
          <w:shd w:val="clear" w:color="auto" w:fill="FFFFFF"/>
          <w:lang w:val="en-US" w:eastAsia="zh-CN"/>
        </w:rPr>
      </w:pPr>
      <w:r>
        <w:rPr>
          <w:rFonts w:hint="eastAsia" w:ascii="仿宋_GB2312" w:hAnsi="仿宋_GB2312" w:eastAsia="仿宋_GB2312" w:cs="仿宋_GB2312"/>
          <w:sz w:val="32"/>
          <w:szCs w:val="32"/>
          <w:lang w:val="en-US" w:eastAsia="zh-CN"/>
        </w:rPr>
        <w:t>（1）陈区镇铁炉片区  铁炉片区核心是铁炉村。铁炉村位于陈区镇东南部，背倚风景秀丽的四坪山，俯视波光粼粼的东仓河。全村2.1平方公里，耕地718亩，人口487人。村中心东经113.049408°，北纬35.838720°，紧邻省道坪曲线，距离太行一号旅游公路0.5公里，距市区13公里。该</w:t>
      </w:r>
      <w:r>
        <w:rPr>
          <w:rFonts w:hint="eastAsia" w:ascii="仿宋_GB2312" w:hAnsi="微软雅黑" w:eastAsia="仿宋_GB2312" w:cs="仿宋_GB2312"/>
          <w:color w:val="000000"/>
          <w:sz w:val="32"/>
          <w:szCs w:val="32"/>
          <w:shd w:val="clear" w:color="auto" w:fill="FFFFFF"/>
        </w:rPr>
        <w:t>村因“铁炉贡梨”而久负盛名。</w:t>
      </w:r>
      <w:r>
        <w:rPr>
          <w:rFonts w:hint="eastAsia" w:ascii="仿宋_GB2312" w:hAnsi="微软雅黑" w:eastAsia="仿宋_GB2312" w:cs="仿宋_GB2312"/>
          <w:color w:val="000000"/>
          <w:sz w:val="32"/>
          <w:szCs w:val="32"/>
          <w:shd w:val="clear" w:color="auto" w:fill="FFFFFF"/>
          <w:lang w:val="en-US" w:eastAsia="zh-CN"/>
        </w:rPr>
        <w:t>合作社</w:t>
      </w:r>
      <w:r>
        <w:rPr>
          <w:rFonts w:hint="eastAsia" w:ascii="仿宋_GB2312" w:hAnsi="微软雅黑" w:eastAsia="仿宋_GB2312" w:cs="仿宋_GB2312"/>
          <w:color w:val="000000"/>
          <w:sz w:val="32"/>
          <w:szCs w:val="32"/>
          <w:shd w:val="clear" w:color="auto" w:fill="FFFFFF"/>
        </w:rPr>
        <w:t>种植黄梨1040亩，老梨树500余棵。</w:t>
      </w:r>
      <w:r>
        <w:rPr>
          <w:rFonts w:hint="eastAsia" w:ascii="仿宋_GB2312" w:hAnsi="微软雅黑" w:eastAsia="仿宋_GB2312" w:cs="仿宋_GB2312"/>
          <w:color w:val="000000"/>
          <w:sz w:val="32"/>
          <w:szCs w:val="32"/>
          <w:shd w:val="clear" w:color="auto" w:fill="FFFFFF"/>
          <w:lang w:val="en-US" w:eastAsia="zh-CN"/>
        </w:rPr>
        <w:t>从事果树生产</w:t>
      </w:r>
      <w:r>
        <w:rPr>
          <w:rFonts w:hint="eastAsia" w:ascii="仿宋_GB2312" w:hAnsi="微软雅黑" w:eastAsia="仿宋_GB2312" w:cs="仿宋_GB2312"/>
          <w:color w:val="000000"/>
          <w:sz w:val="32"/>
          <w:szCs w:val="32"/>
          <w:shd w:val="clear" w:color="auto" w:fill="FFFFFF"/>
        </w:rPr>
        <w:t>300余人</w:t>
      </w:r>
      <w:r>
        <w:rPr>
          <w:rFonts w:hint="eastAsia" w:ascii="仿宋_GB2312" w:hAnsi="微软雅黑" w:eastAsia="仿宋_GB2312" w:cs="仿宋_GB2312"/>
          <w:color w:val="000000"/>
          <w:sz w:val="32"/>
          <w:szCs w:val="32"/>
          <w:shd w:val="clear" w:color="auto" w:fill="FFFFFF"/>
          <w:lang w:eastAsia="zh-CN"/>
        </w:rPr>
        <w:t>。</w:t>
      </w:r>
      <w:r>
        <w:rPr>
          <w:rFonts w:hint="eastAsia" w:ascii="仿宋_GB2312" w:hAnsi="微软雅黑" w:eastAsia="仿宋_GB2312" w:cs="仿宋_GB2312"/>
          <w:color w:val="000000"/>
          <w:sz w:val="32"/>
          <w:szCs w:val="32"/>
          <w:shd w:val="clear" w:color="auto" w:fill="FFFFFF"/>
          <w:lang w:val="en-US" w:eastAsia="zh-CN"/>
        </w:rPr>
        <w:t>所产黄梨是高平大黄梨的顶级代表。村集体收入28万元，合作社收入1500万元，村民人均收入3.14万元。</w:t>
      </w:r>
    </w:p>
    <w:p w14:paraId="38CAA724">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（2）寺庄镇芦家峪片区  芦家峪片区核心是芦家峪村。该村位于高平市寺庄镇西部4.5公里处，村中心东经112.786453°，北纬35.892501°。北邻太行一号旅游公路，西与沁水相连,全村232户,768口人，辖4个自然村（分别为芦家峪、西沟、北沟和拌沟自然村），辖区面积4.11平方公里。片区耕地面积1372.68亩，林地2396.61亩，传统老黄梨面积280余亩，老黄梨树1900余棵，其中明清老梨树约占50%、民国老梨树约占40%、中华人民共和国成立后新种植梨树约10%。老黄梨树是该村村民生活的主要经济来源。村集体收入131万元，村民人均收入</w:t>
      </w:r>
      <w:r>
        <w:rPr>
          <w:rFonts w:hint="eastAsia" w:ascii="仿宋_GB2312" w:hAnsi="仿宋_GB2312" w:eastAsia="仿宋_GB2312" w:cs="仿宋_GB2312"/>
          <w:sz w:val="32"/>
          <w:szCs w:val="32"/>
          <w:highlight w:val="none"/>
          <w:lang w:val="en-US" w:eastAsia="zh-CN"/>
        </w:rPr>
        <w:t>2.015</w:t>
      </w:r>
      <w:r>
        <w:rPr>
          <w:rFonts w:hint="eastAsia" w:ascii="仿宋_GB2312" w:hAnsi="仿宋_GB2312" w:eastAsia="仿宋_GB2312" w:cs="仿宋_GB2312"/>
          <w:sz w:val="32"/>
          <w:szCs w:val="32"/>
          <w:lang w:val="en-US" w:eastAsia="zh-CN"/>
        </w:rPr>
        <w:t>万元。</w:t>
      </w:r>
    </w:p>
    <w:p w14:paraId="3DB61868">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（3）寺庄镇釜山片区  釜山片区核心是釜山村。该</w:t>
      </w:r>
      <w:r>
        <w:rPr>
          <w:rFonts w:hint="eastAsia" w:ascii="仿宋_GB2312" w:hAnsi="仿宋_GB2312" w:eastAsia="仿宋_GB2312" w:cs="仿宋_GB2312"/>
          <w:b w:val="0"/>
          <w:bCs w:val="0"/>
          <w:sz w:val="32"/>
          <w:szCs w:val="32"/>
          <w:lang w:val="en-US" w:eastAsia="zh-CN"/>
        </w:rPr>
        <w:t>村东临太行一号旅游公路，南接沁水县，辖区总面积3.16平方公里，耕地面积1413亩，全村332户，1100口人。</w:t>
      </w:r>
      <w:r>
        <w:rPr>
          <w:rFonts w:hint="eastAsia" w:ascii="仿宋_GB2312" w:hAnsi="仿宋_GB2312" w:eastAsia="仿宋_GB2312" w:cs="仿宋_GB2312"/>
          <w:sz w:val="32"/>
          <w:szCs w:val="32"/>
          <w:lang w:val="en-US" w:eastAsia="zh-CN"/>
        </w:rPr>
        <w:t>釜山村古梨树公园位于太行一号旅游公路南侧，公园中心东经112.817654°，北纬35.892722°。公园占地面积80亩，现有老梨树500余棵，其中树龄300年以上约50棵，树龄200--300年约100棵，树龄100--200年约180棵，树龄50-100年约100棵，树龄50年以下约70棵。古梨树公园正在建设集古梨树保护、林养康养为主的休闲中心。村集体收入700万元，村民人均收</w:t>
      </w:r>
      <w:r>
        <w:rPr>
          <w:rFonts w:hint="eastAsia" w:ascii="仿宋_GB2312" w:hAnsi="仿宋_GB2312" w:eastAsia="仿宋_GB2312" w:cs="仿宋_GB2312"/>
          <w:sz w:val="32"/>
          <w:szCs w:val="32"/>
          <w:highlight w:val="none"/>
          <w:lang w:val="en-US" w:eastAsia="zh-CN"/>
        </w:rPr>
        <w:t>入2.6</w:t>
      </w:r>
      <w:r>
        <w:rPr>
          <w:rFonts w:hint="eastAsia" w:ascii="仿宋_GB2312" w:hAnsi="仿宋_GB2312" w:eastAsia="仿宋_GB2312" w:cs="仿宋_GB2312"/>
          <w:sz w:val="32"/>
          <w:szCs w:val="32"/>
          <w:lang w:val="en-US" w:eastAsia="zh-CN"/>
        </w:rPr>
        <w:t>万元。</w:t>
      </w:r>
    </w:p>
    <w:p w14:paraId="28C78800">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（4）寺庄镇李家河片区  李家河片区核心是李家河村。该村位于高平市西北部，村中心东经112.797843°，北纬35.907891°，是高平市11个</w:t>
      </w:r>
      <w:r>
        <w:rPr>
          <w:rFonts w:hint="eastAsia" w:ascii="仿宋_GB2312" w:hAnsi="仿宋_GB2312" w:eastAsia="仿宋_GB2312" w:cs="仿宋_GB2312"/>
          <w:color w:val="auto"/>
          <w:sz w:val="32"/>
          <w:szCs w:val="32"/>
          <w:lang w:val="en-US" w:eastAsia="zh-CN"/>
        </w:rPr>
        <w:t>脱贫村之一。片区由五个自然村组成（李家河、白家坡、明家沟、公家山、宋家岭），辖区面积8.36平方公里，全村共416户，1094口人，</w:t>
      </w:r>
      <w:r>
        <w:rPr>
          <w:rFonts w:hint="eastAsia" w:ascii="仿宋_GB2312" w:hAnsi="仿宋_GB2312" w:eastAsia="仿宋_GB2312" w:cs="仿宋_GB2312"/>
          <w:sz w:val="32"/>
          <w:szCs w:val="32"/>
          <w:lang w:val="en-US" w:eastAsia="zh-CN"/>
        </w:rPr>
        <w:t>2633.92亩耕地，4365.04亩林地。该村村民以农业种植为主，大黄梨是该村特色农产品，现有黄梨种植面积 470亩，其中老梨树2000余棵，</w:t>
      </w:r>
      <w:r>
        <w:rPr>
          <w:rFonts w:hint="eastAsia" w:ascii="仿宋_GB2312" w:hAnsi="仿宋_GB2312" w:eastAsia="仿宋_GB2312" w:cs="仿宋_GB2312"/>
          <w:b w:val="0"/>
          <w:bCs w:val="0"/>
          <w:color w:val="auto"/>
          <w:sz w:val="32"/>
          <w:szCs w:val="32"/>
          <w:lang w:val="en-US" w:eastAsia="zh-CN"/>
        </w:rPr>
        <w:t>新栽梨树2500余棵，年均黄梨产量35万斤左右，年产值52.5万元，户均收益1.26万元。该</w:t>
      </w:r>
      <w:r>
        <w:rPr>
          <w:rFonts w:hint="eastAsia" w:ascii="仿宋_GB2312" w:hAnsi="仿宋_GB2312" w:eastAsia="仿宋_GB2312" w:cs="仿宋_GB2312"/>
          <w:sz w:val="32"/>
          <w:szCs w:val="32"/>
          <w:lang w:val="en-US" w:eastAsia="zh-CN"/>
        </w:rPr>
        <w:t>村种植黄梨的历史最早可追溯至宋代，距今已有千年。</w:t>
      </w:r>
      <w:r>
        <w:rPr>
          <w:rFonts w:hint="default" w:ascii="仿宋_GB2312" w:hAnsi="仿宋_GB2312" w:eastAsia="仿宋_GB2312" w:cs="仿宋_GB2312"/>
          <w:sz w:val="32"/>
          <w:szCs w:val="32"/>
          <w:lang w:val="en-US" w:eastAsia="zh-CN"/>
        </w:rPr>
        <w:t>村集体经济收入128万元</w:t>
      </w:r>
      <w:r>
        <w:rPr>
          <w:rFonts w:hint="eastAsia" w:ascii="仿宋_GB2312" w:hAnsi="仿宋_GB2312" w:eastAsia="仿宋_GB2312" w:cs="仿宋_GB2312"/>
          <w:sz w:val="32"/>
          <w:szCs w:val="32"/>
          <w:lang w:val="en-US" w:eastAsia="zh-CN"/>
        </w:rPr>
        <w:t>，村民人均收入</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lang w:val="en-US" w:eastAsia="zh-CN"/>
        </w:rPr>
        <w:t>万元。</w:t>
      </w:r>
    </w:p>
    <w:p w14:paraId="0C0D7E3C">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（5）野川镇杜寨片区  杜寨片区核心是杜寨村，该村是中国传统古村落，地处高平市西部，距市区11公里，位于野川镇西北，距镇政府所在地5公里，南距207国道8公里；村中心东经112.789092°，北纬35.816470°。该村南靠相公山，北靠马鞍山，区域面积6平方公里，全村393户，1160口人，现有2493.25亩耕地，3500亩林地</w:t>
      </w:r>
      <w:r>
        <w:rPr>
          <w:rFonts w:hint="eastAsia" w:ascii="仿宋_GB2312" w:hAnsi="仿宋_GB2312" w:eastAsia="仿宋_GB2312" w:cs="仿宋_GB2312"/>
          <w:sz w:val="32"/>
          <w:szCs w:val="32"/>
          <w:highlight w:val="none"/>
          <w:lang w:val="en-US" w:eastAsia="zh-CN"/>
        </w:rPr>
        <w:t>。该片区核心区梨树种植面积400亩，老梨树400余棵，周边区域黄梨种植面积超5000亩，全部管理良好，品质独特。片区有一支专业管理队伍，有黄梨恒温库、烘干和小型梨品加工业等附属产业。</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"https://baike.baidu.com/item/%E5%86%9C%E6%9D%91%E7%BB%8F%E6%B5%8E%E6%80%BB%E6%94%B6%E5%85%A5/10535162?fromModule=lemma_inlink" \t "https://baike.baidu.com/item/%E6%9D%9C%E5%AF%A8%E6%9D%91/_blank" </w:instrText>
      </w:r>
      <w:r>
        <w:rPr>
          <w:rFonts w:hint="default"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村集体收</w:t>
      </w:r>
      <w:r>
        <w:rPr>
          <w:rFonts w:hint="default" w:ascii="仿宋_GB2312" w:hAnsi="仿宋_GB2312" w:eastAsia="仿宋_GB2312" w:cs="仿宋_GB2312"/>
          <w:sz w:val="32"/>
          <w:szCs w:val="32"/>
          <w:lang w:val="en-US" w:eastAsia="zh-CN"/>
        </w:rPr>
        <w:t>入</w:t>
      </w:r>
      <w:r>
        <w:rPr>
          <w:rFonts w:hint="default" w:ascii="仿宋_GB2312" w:hAnsi="仿宋_GB2312" w:eastAsia="仿宋_GB2312" w:cs="仿宋_GB2312"/>
          <w:sz w:val="32"/>
          <w:szCs w:val="32"/>
          <w:lang w:val="en-US" w:eastAsia="zh-CN"/>
        </w:rPr>
        <w:fldChar w:fldCharType="end"/>
      </w:r>
      <w:r>
        <w:rPr>
          <w:rFonts w:hint="default" w:ascii="仿宋_GB2312" w:hAnsi="仿宋_GB2312" w:eastAsia="仿宋_GB2312" w:cs="仿宋_GB2312"/>
          <w:sz w:val="32"/>
          <w:szCs w:val="32"/>
          <w:lang w:val="en-US" w:eastAsia="zh-CN"/>
        </w:rPr>
        <w:t>486万元</w:t>
      </w:r>
      <w:r>
        <w:rPr>
          <w:rFonts w:hint="eastAsia" w:ascii="仿宋_GB2312" w:hAnsi="仿宋_GB2312" w:eastAsia="仿宋_GB2312" w:cs="仿宋_GB2312"/>
          <w:sz w:val="32"/>
          <w:szCs w:val="32"/>
          <w:lang w:val="en-US" w:eastAsia="zh-CN"/>
        </w:rPr>
        <w:t>，村民人均收入2.43万元。</w:t>
      </w:r>
      <w:bookmarkStart w:id="7" w:name="_Toc25367"/>
    </w:p>
    <w:p w14:paraId="794670AC">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2.主要分布区域</w:t>
      </w:r>
      <w:bookmarkEnd w:id="7"/>
    </w:p>
    <w:p w14:paraId="7FA65D47">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 w:eastAsia="仿宋_GB2312"/>
          <w:sz w:val="32"/>
          <w:szCs w:val="32"/>
          <w:highlight w:val="none"/>
        </w:rPr>
      </w:pPr>
      <w:r>
        <w:rPr>
          <w:rFonts w:hint="eastAsia" w:ascii="仿宋_GB2312" w:hAnsi="仿宋" w:eastAsia="仿宋_GB2312"/>
          <w:sz w:val="32"/>
          <w:szCs w:val="32"/>
        </w:rPr>
        <w:t>涉及</w:t>
      </w:r>
      <w:r>
        <w:rPr>
          <w:rFonts w:hint="eastAsia" w:ascii="仿宋_GB2312" w:hAnsi="仿宋_GB2312" w:eastAsia="仿宋_GB2312" w:cs="仿宋_GB2312"/>
          <w:color w:val="000000" w:themeColor="text1"/>
          <w:sz w:val="32"/>
          <w:szCs w:val="32"/>
          <w14:textFill>
            <w14:solidFill>
              <w14:schemeClr w14:val="tx1"/>
            </w14:solidFill>
          </w14:textFill>
        </w:rPr>
        <w:t>陈区镇、寺庄镇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野川镇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神农镇、建宁乡、三甲镇、马村镇、东城办、南城办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和北城办</w:t>
      </w:r>
      <w:r>
        <w:rPr>
          <w:rFonts w:hint="eastAsia" w:ascii="仿宋_GB2312" w:hAnsi="仿宋" w:eastAsia="仿宋_GB2312"/>
          <w:sz w:val="32"/>
          <w:szCs w:val="32"/>
          <w:lang w:val="en-US" w:eastAsia="zh-CN"/>
        </w:rPr>
        <w:t>十</w:t>
      </w:r>
      <w:r>
        <w:rPr>
          <w:rFonts w:hint="eastAsia" w:ascii="仿宋_GB2312" w:hAnsi="仿宋" w:eastAsia="仿宋_GB2312"/>
          <w:sz w:val="32"/>
          <w:szCs w:val="32"/>
        </w:rPr>
        <w:t>个乡镇，</w:t>
      </w:r>
      <w:r>
        <w:rPr>
          <w:rFonts w:ascii="仿宋_GB2312" w:hAnsi="仿宋" w:eastAsia="仿宋_GB2312"/>
          <w:color w:val="000000" w:themeColor="text1"/>
          <w:sz w:val="32"/>
          <w:szCs w:val="32"/>
          <w14:textFill>
            <w14:solidFill>
              <w14:schemeClr w14:val="tx1"/>
            </w14:solidFill>
          </w14:textFill>
        </w:rPr>
        <w:t>总面积</w:t>
      </w:r>
      <w:r>
        <w:rPr>
          <w:rFonts w:hint="eastAsia" w:ascii="仿宋_GB2312" w:hAnsi="仿宋" w:eastAsia="仿宋_GB2312"/>
          <w:color w:val="000000" w:themeColor="text1"/>
          <w:sz w:val="32"/>
          <w:szCs w:val="32"/>
          <w:lang w:val="en-US" w:eastAsia="zh-CN"/>
          <w14:textFill>
            <w14:solidFill>
              <w14:schemeClr w14:val="tx1"/>
            </w14:solidFill>
          </w14:textFill>
        </w:rPr>
        <w:t>589.8</w:t>
      </w:r>
      <w:r>
        <w:rPr>
          <w:rFonts w:ascii="仿宋_GB2312" w:hAnsi="仿宋" w:eastAsia="仿宋_GB2312"/>
          <w:color w:val="000000" w:themeColor="text1"/>
          <w:sz w:val="32"/>
          <w:szCs w:val="32"/>
          <w14:textFill>
            <w14:solidFill>
              <w14:schemeClr w14:val="tx1"/>
            </w14:solidFill>
          </w14:textFill>
        </w:rPr>
        <w:t>平方公里。</w:t>
      </w:r>
      <w:r>
        <w:rPr>
          <w:rFonts w:hint="eastAsia" w:ascii="仿宋_GB2312" w:hAnsi="仿宋" w:eastAsia="仿宋_GB2312"/>
          <w:color w:val="000000" w:themeColor="text1"/>
          <w:sz w:val="32"/>
          <w:szCs w:val="32"/>
          <w:lang w:val="en-US" w:eastAsia="zh-CN"/>
          <w14:textFill>
            <w14:solidFill>
              <w14:schemeClr w14:val="tx1"/>
            </w14:solidFill>
          </w14:textFill>
        </w:rPr>
        <w:t>主要分布在太行一号风景线和旅游公路沿线周边，地势平坦，交通便利</w:t>
      </w:r>
      <w:r>
        <w:rPr>
          <w:rFonts w:hint="eastAsia" w:ascii="仿宋_GB2312" w:hAnsi="仿宋" w:eastAsia="仿宋_GB2312"/>
          <w:sz w:val="32"/>
          <w:szCs w:val="32"/>
        </w:rPr>
        <w:t>。该区域属暖温带季风气候，四季分明，雨热同季</w:t>
      </w:r>
      <w:r>
        <w:rPr>
          <w:rFonts w:hint="eastAsia" w:ascii="仿宋_GB2312" w:hAnsi="仿宋" w:eastAsia="仿宋_GB2312"/>
          <w:sz w:val="32"/>
          <w:szCs w:val="32"/>
          <w:lang w:eastAsia="zh-CN"/>
        </w:rPr>
        <w:t>，</w:t>
      </w:r>
      <w:r>
        <w:rPr>
          <w:rFonts w:hint="eastAsia" w:ascii="仿宋_GB2312" w:hAnsi="仿宋" w:eastAsia="仿宋_GB2312"/>
          <w:sz w:val="32"/>
          <w:szCs w:val="32"/>
        </w:rPr>
        <w:t>年平均气温10.4摄氏度，年均降水量600毫米，无霜期180—200天，年均日照率54%。当地有潮土、褐土，土壤硒含量高，富硒土壤面积392km²</w:t>
      </w:r>
      <w:r>
        <w:rPr>
          <w:rFonts w:hint="eastAsia" w:ascii="仿宋_GB2312" w:hAnsi="仿宋" w:eastAsia="仿宋_GB2312"/>
          <w:sz w:val="32"/>
          <w:szCs w:val="32"/>
          <w:lang w:eastAsia="zh-CN"/>
        </w:rPr>
        <w:t>，</w:t>
      </w:r>
      <w:r>
        <w:rPr>
          <w:rFonts w:hint="eastAsia" w:ascii="仿宋_GB2312" w:hAnsi="仿宋" w:eastAsia="仿宋_GB2312"/>
          <w:sz w:val="32"/>
          <w:szCs w:val="32"/>
        </w:rPr>
        <w:t>占全市耕地面积的65.8%，高于山西省平均值3.55倍。从水文条件看，高平市属于黄河水系，全市地表水年平均径流量约3 888 万m³，平均径流深35 mm，地下水1.49亿m³，灌溉水源充足。人口民族方面，总人口</w:t>
      </w:r>
      <w:r>
        <w:rPr>
          <w:rFonts w:hint="eastAsia" w:ascii="仿宋_GB2312" w:hAnsi="仿宋" w:eastAsia="仿宋_GB2312"/>
          <w:sz w:val="32"/>
          <w:szCs w:val="32"/>
          <w:highlight w:val="none"/>
          <w:lang w:val="en-US" w:eastAsia="zh-CN"/>
        </w:rPr>
        <w:t>262517</w:t>
      </w:r>
      <w:r>
        <w:rPr>
          <w:rFonts w:hint="eastAsia" w:ascii="仿宋_GB2312" w:hAnsi="仿宋" w:eastAsia="仿宋_GB2312"/>
          <w:sz w:val="32"/>
          <w:szCs w:val="32"/>
        </w:rPr>
        <w:t>人，民族结构以汉族为主</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同时还有回族、满族等少数民族</w:t>
      </w:r>
      <w:r>
        <w:rPr>
          <w:rFonts w:hint="eastAsia" w:ascii="仿宋_GB2312" w:hAnsi="仿宋" w:eastAsia="仿宋_GB2312"/>
          <w:sz w:val="32"/>
          <w:szCs w:val="32"/>
        </w:rPr>
        <w:t>，与</w:t>
      </w:r>
      <w:r>
        <w:rPr>
          <w:rFonts w:hint="eastAsia" w:ascii="仿宋_GB2312" w:hAnsi="仿宋" w:eastAsia="仿宋_GB2312"/>
          <w:sz w:val="32"/>
          <w:szCs w:val="32"/>
          <w:lang w:eastAsia="zh-CN"/>
        </w:rPr>
        <w:t>全</w:t>
      </w:r>
      <w:r>
        <w:rPr>
          <w:rFonts w:hint="eastAsia" w:ascii="仿宋_GB2312" w:hAnsi="仿宋" w:eastAsia="仿宋_GB2312"/>
          <w:sz w:val="32"/>
          <w:szCs w:val="32"/>
          <w:lang w:val="en-US" w:eastAsia="zh-CN"/>
        </w:rPr>
        <w:t>市人口结构</w:t>
      </w:r>
      <w:r>
        <w:rPr>
          <w:rFonts w:hint="eastAsia" w:ascii="仿宋_GB2312" w:hAnsi="仿宋" w:eastAsia="仿宋_GB2312"/>
          <w:sz w:val="32"/>
          <w:szCs w:val="32"/>
        </w:rPr>
        <w:t>基本一致。产业发展方面，以</w:t>
      </w:r>
      <w:r>
        <w:rPr>
          <w:rFonts w:hint="eastAsia" w:ascii="仿宋_GB2312" w:hAnsi="仿宋" w:eastAsia="仿宋_GB2312"/>
          <w:sz w:val="32"/>
          <w:szCs w:val="32"/>
          <w:lang w:val="en-US" w:eastAsia="zh-CN"/>
        </w:rPr>
        <w:t>“特”“优”产业</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白色的猪、黄色的梨、红色的薯、绿色的菜、土色的蛋</w:t>
      </w:r>
      <w:r>
        <w:rPr>
          <w:rFonts w:hint="eastAsia" w:ascii="仿宋_GB2312" w:hAnsi="仿宋" w:eastAsia="仿宋_GB2312"/>
          <w:sz w:val="32"/>
          <w:szCs w:val="32"/>
        </w:rPr>
        <w:t>“五彩农业”为主。经济收入方面，2025年，</w:t>
      </w:r>
      <w:r>
        <w:rPr>
          <w:rFonts w:hint="eastAsia" w:ascii="仿宋_GB2312" w:hAnsi="仿宋" w:eastAsia="仿宋_GB2312"/>
          <w:sz w:val="32"/>
          <w:szCs w:val="32"/>
          <w:lang w:val="en-US" w:eastAsia="zh-CN"/>
        </w:rPr>
        <w:t>我市农村人均可支配收入为24197元，铁炉村、釜山村等核心区域收入明显高于其它行政村</w:t>
      </w:r>
      <w:r>
        <w:rPr>
          <w:rFonts w:hint="eastAsia" w:ascii="仿宋_GB2312" w:hAnsi="仿宋" w:eastAsia="仿宋_GB2312"/>
          <w:sz w:val="32"/>
          <w:szCs w:val="32"/>
          <w:highlight w:val="none"/>
        </w:rPr>
        <w:t>。</w:t>
      </w:r>
      <w:bookmarkStart w:id="8" w:name="_Toc11025"/>
    </w:p>
    <w:p w14:paraId="411EC2FC">
      <w:pPr>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val="0"/>
        <w:snapToGrid w:val="0"/>
        <w:spacing w:beforeAutospacing="0" w:afterAutospacing="0" w:line="560" w:lineRule="exact"/>
        <w:ind w:left="0" w:leftChars="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核心保护要素保护情况</w:t>
      </w:r>
      <w:bookmarkEnd w:id="8"/>
      <w:r>
        <w:rPr>
          <w:rFonts w:hint="eastAsia" w:ascii="楷体" w:hAnsi="楷体" w:eastAsia="楷体" w:cs="楷体"/>
          <w:b/>
          <w:bCs/>
          <w:sz w:val="32"/>
          <w:szCs w:val="32"/>
          <w:lang w:val="en-US" w:eastAsia="zh-CN"/>
        </w:rPr>
        <w:t xml:space="preserve"> </w:t>
      </w:r>
      <w:bookmarkStart w:id="9" w:name="_Toc9467"/>
    </w:p>
    <w:p w14:paraId="73E23A97">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1.农业物种</w:t>
      </w:r>
      <w:bookmarkEnd w:id="9"/>
      <w:r>
        <w:rPr>
          <w:rFonts w:hint="eastAsia" w:ascii="仿宋_GB2312" w:hAnsi="仿宋_GB2312" w:eastAsia="仿宋_GB2312" w:cs="仿宋_GB2312"/>
          <w:sz w:val="32"/>
          <w:szCs w:val="32"/>
          <w:lang w:val="en-US" w:eastAsia="zh-CN"/>
        </w:rPr>
        <w:tab/>
      </w:r>
    </w:p>
    <w:p w14:paraId="32D52785">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华文仿宋" w:hAnsi="华文仿宋" w:eastAsia="华文仿宋" w:cs="华文仿宋"/>
          <w:b w:val="0"/>
          <w:bCs w:val="0"/>
          <w:sz w:val="32"/>
          <w:szCs w:val="32"/>
          <w:lang w:val="en-US" w:eastAsia="zh-CN"/>
        </w:rPr>
        <w:t>（1）</w:t>
      </w:r>
      <w:r>
        <w:rPr>
          <w:rFonts w:hint="eastAsia" w:ascii="仿宋_GB2312" w:hAnsi="仿宋_GB2312" w:eastAsia="仿宋_GB2312" w:cs="仿宋_GB2312"/>
          <w:b w:val="0"/>
          <w:bCs w:val="0"/>
          <w:sz w:val="32"/>
          <w:szCs w:val="32"/>
          <w:lang w:val="en-US" w:eastAsia="zh-CN"/>
        </w:rPr>
        <w:t>老梨树保护：我市现有老梨树8万株，极少部分树龄超300年，是优质农业种质资源。针对部分老梨树</w:t>
      </w:r>
      <w:r>
        <w:rPr>
          <w:rFonts w:hint="default" w:ascii="仿宋_GB2312" w:hAnsi="仿宋_GB2312" w:eastAsia="仿宋_GB2312" w:cs="仿宋_GB2312"/>
          <w:b w:val="0"/>
          <w:bCs w:val="0"/>
          <w:sz w:val="32"/>
          <w:szCs w:val="32"/>
          <w:lang w:val="en-US" w:eastAsia="zh-CN"/>
        </w:rPr>
        <w:t>老根死亡、缺少新根问题，</w:t>
      </w:r>
      <w:r>
        <w:rPr>
          <w:rFonts w:hint="eastAsia" w:ascii="仿宋_GB2312" w:hAnsi="仿宋_GB2312" w:eastAsia="仿宋_GB2312" w:cs="仿宋_GB2312"/>
          <w:b w:val="0"/>
          <w:bCs w:val="0"/>
          <w:sz w:val="32"/>
          <w:szCs w:val="32"/>
          <w:lang w:val="en-US" w:eastAsia="zh-CN"/>
        </w:rPr>
        <w:t>通过</w:t>
      </w:r>
      <w:r>
        <w:rPr>
          <w:rFonts w:hint="default" w:ascii="仿宋_GB2312" w:hAnsi="仿宋_GB2312" w:eastAsia="仿宋_GB2312" w:cs="仿宋_GB2312"/>
          <w:b w:val="0"/>
          <w:bCs w:val="0"/>
          <w:sz w:val="32"/>
          <w:szCs w:val="32"/>
          <w:lang w:val="en-US" w:eastAsia="zh-CN"/>
        </w:rPr>
        <w:t>在树周砌砖修建直径2米，高25厘米圆形树盘进行保护</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并在根颈处嫁接新根，增加树干2米范围内土层厚度，促使新根生长，建立新的根冠结构，延长老树寿命。</w:t>
      </w:r>
      <w:r>
        <w:rPr>
          <w:rFonts w:hint="eastAsia" w:ascii="仿宋_GB2312" w:hAnsi="仿宋_GB2312" w:eastAsia="仿宋_GB2312" w:cs="仿宋_GB2312"/>
          <w:b w:val="0"/>
          <w:bCs w:val="0"/>
          <w:sz w:val="32"/>
          <w:szCs w:val="32"/>
          <w:lang w:val="en-US" w:eastAsia="zh-CN"/>
        </w:rPr>
        <w:t>目前，</w:t>
      </w:r>
      <w:r>
        <w:rPr>
          <w:rFonts w:hint="eastAsia" w:ascii="仿宋_GB2312" w:hAnsi="仿宋_GB2312" w:eastAsia="仿宋_GB2312" w:cs="仿宋_GB2312"/>
          <w:b w:val="0"/>
          <w:bCs w:val="0"/>
          <w:sz w:val="32"/>
          <w:szCs w:val="32"/>
          <w:highlight w:val="none"/>
          <w:lang w:val="en-US" w:eastAsia="zh-CN"/>
        </w:rPr>
        <w:t>共修复保护老梨树2.4万棵</w:t>
      </w:r>
      <w:r>
        <w:rPr>
          <w:rFonts w:hint="eastAsia" w:ascii="仿宋_GB2312" w:hAnsi="仿宋_GB2312" w:eastAsia="仿宋_GB2312" w:cs="仿宋_GB2312"/>
          <w:b w:val="0"/>
          <w:bCs w:val="0"/>
          <w:sz w:val="32"/>
          <w:szCs w:val="32"/>
          <w:lang w:val="en-US" w:eastAsia="zh-CN"/>
        </w:rPr>
        <w:t>。</w:t>
      </w:r>
      <w:bookmarkStart w:id="10" w:name="_Toc23335"/>
    </w:p>
    <w:p w14:paraId="6D211327">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2.传统知识体系与农耕技艺</w:t>
      </w:r>
      <w:bookmarkEnd w:id="10"/>
    </w:p>
    <w:p w14:paraId="286F6E68">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2</w:t>
      </w:r>
      <w:r>
        <w:rPr>
          <w:rFonts w:hint="eastAsia" w:ascii="仿宋_GB2312" w:hAnsi="仿宋_GB2312" w:eastAsia="仿宋_GB2312" w:cs="仿宋_GB2312"/>
          <w:bCs/>
          <w:color w:val="000000"/>
          <w:kern w:val="0"/>
          <w:sz w:val="32"/>
          <w:szCs w:val="32"/>
          <w:lang w:eastAsia="zh-CN"/>
        </w:rPr>
        <w:t>）黄梨储藏技术：</w:t>
      </w:r>
      <w:r>
        <w:rPr>
          <w:rFonts w:hint="eastAsia" w:ascii="仿宋_GB2312" w:hAnsi="仿宋_GB2312" w:eastAsia="仿宋_GB2312" w:cs="仿宋_GB2312"/>
          <w:bCs/>
          <w:color w:val="000000"/>
          <w:kern w:val="0"/>
          <w:sz w:val="32"/>
          <w:szCs w:val="32"/>
        </w:rPr>
        <w:t>大黄梨个大</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味浓</w:t>
      </w:r>
      <w:r>
        <w:rPr>
          <w:rFonts w:hint="eastAsia" w:ascii="仿宋_GB2312" w:hAnsi="仿宋_GB2312" w:eastAsia="仿宋_GB2312" w:cs="仿宋_GB2312"/>
          <w:bCs/>
          <w:color w:val="000000"/>
          <w:kern w:val="0"/>
          <w:sz w:val="32"/>
          <w:szCs w:val="32"/>
          <w:lang w:eastAsia="zh-CN"/>
        </w:rPr>
        <w:t>，不适合露天存放。</w:t>
      </w:r>
      <w:r>
        <w:rPr>
          <w:rFonts w:hint="eastAsia" w:ascii="仿宋_GB2312" w:hAnsi="仿宋_GB2312" w:eastAsia="仿宋_GB2312" w:cs="仿宋_GB2312"/>
          <w:bCs/>
          <w:color w:val="000000"/>
          <w:kern w:val="0"/>
          <w:sz w:val="32"/>
          <w:szCs w:val="32"/>
        </w:rPr>
        <w:t>当地果农</w:t>
      </w:r>
      <w:r>
        <w:rPr>
          <w:rFonts w:hint="eastAsia" w:ascii="仿宋_GB2312" w:hAnsi="仿宋_GB2312" w:eastAsia="仿宋_GB2312" w:cs="仿宋_GB2312"/>
          <w:bCs/>
          <w:color w:val="000000"/>
          <w:kern w:val="0"/>
          <w:sz w:val="32"/>
          <w:szCs w:val="32"/>
          <w:lang w:eastAsia="zh-CN"/>
        </w:rPr>
        <w:t>储藏大黄梨多用窑洞。</w:t>
      </w:r>
      <w:r>
        <w:rPr>
          <w:rFonts w:hint="eastAsia" w:ascii="仿宋_GB2312" w:hAnsi="仿宋_GB2312" w:eastAsia="仿宋_GB2312" w:cs="仿宋_GB2312"/>
          <w:bCs/>
          <w:color w:val="000000"/>
          <w:kern w:val="0"/>
          <w:sz w:val="32"/>
          <w:szCs w:val="32"/>
        </w:rPr>
        <w:t>窖洞能为黄梨提供低温</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潮湿且</w:t>
      </w:r>
      <w:r>
        <w:rPr>
          <w:rFonts w:hint="eastAsia" w:ascii="仿宋_GB2312" w:hAnsi="仿宋_GB2312" w:eastAsia="仿宋_GB2312" w:cs="仿宋_GB2312"/>
          <w:bCs/>
          <w:color w:val="000000"/>
          <w:kern w:val="0"/>
          <w:sz w:val="32"/>
          <w:szCs w:val="32"/>
          <w:lang w:eastAsia="zh-CN"/>
        </w:rPr>
        <w:t>稳定</w:t>
      </w:r>
      <w:r>
        <w:rPr>
          <w:rFonts w:hint="eastAsia" w:ascii="仿宋_GB2312" w:hAnsi="仿宋_GB2312" w:eastAsia="仿宋_GB2312" w:cs="仿宋_GB2312"/>
          <w:bCs/>
          <w:color w:val="000000"/>
          <w:kern w:val="0"/>
          <w:sz w:val="32"/>
          <w:szCs w:val="32"/>
        </w:rPr>
        <w:t>的环境，</w:t>
      </w:r>
      <w:r>
        <w:rPr>
          <w:rFonts w:hint="eastAsia" w:ascii="仿宋_GB2312" w:hAnsi="仿宋_GB2312" w:eastAsia="仿宋_GB2312" w:cs="仿宋_GB2312"/>
          <w:bCs/>
          <w:color w:val="000000"/>
          <w:kern w:val="0"/>
          <w:sz w:val="32"/>
          <w:szCs w:val="32"/>
          <w:lang w:eastAsia="zh-CN"/>
        </w:rPr>
        <w:t>既</w:t>
      </w:r>
      <w:r>
        <w:rPr>
          <w:rFonts w:hint="eastAsia" w:ascii="仿宋_GB2312" w:hAnsi="仿宋_GB2312" w:eastAsia="仿宋_GB2312" w:cs="仿宋_GB2312"/>
          <w:bCs/>
          <w:color w:val="000000"/>
          <w:kern w:val="0"/>
          <w:sz w:val="32"/>
          <w:szCs w:val="32"/>
        </w:rPr>
        <w:t>保障黄梨</w:t>
      </w:r>
      <w:r>
        <w:rPr>
          <w:rFonts w:hint="eastAsia" w:ascii="仿宋_GB2312" w:hAnsi="仿宋_GB2312" w:eastAsia="仿宋_GB2312" w:cs="仿宋_GB2312"/>
          <w:bCs/>
          <w:color w:val="000000"/>
          <w:kern w:val="0"/>
          <w:sz w:val="32"/>
          <w:szCs w:val="32"/>
          <w:lang w:eastAsia="zh-CN"/>
        </w:rPr>
        <w:t>水分不流失，又能让</w:t>
      </w:r>
      <w:r>
        <w:rPr>
          <w:rFonts w:hint="eastAsia" w:ascii="仿宋_GB2312" w:hAnsi="仿宋_GB2312" w:eastAsia="仿宋_GB2312" w:cs="仿宋_GB2312"/>
          <w:bCs/>
          <w:color w:val="000000"/>
          <w:kern w:val="0"/>
          <w:sz w:val="32"/>
          <w:szCs w:val="32"/>
        </w:rPr>
        <w:t>黄梨</w:t>
      </w:r>
      <w:r>
        <w:rPr>
          <w:rFonts w:hint="eastAsia" w:ascii="仿宋_GB2312" w:hAnsi="仿宋_GB2312" w:eastAsia="仿宋_GB2312" w:cs="仿宋_GB2312"/>
          <w:bCs/>
          <w:color w:val="000000"/>
          <w:kern w:val="0"/>
          <w:sz w:val="32"/>
          <w:szCs w:val="32"/>
          <w:lang w:eastAsia="zh-CN"/>
        </w:rPr>
        <w:t>去燥热（俗话出透汗），还能</w:t>
      </w:r>
      <w:r>
        <w:rPr>
          <w:rFonts w:hint="eastAsia" w:ascii="仿宋_GB2312" w:hAnsi="仿宋_GB2312" w:eastAsia="仿宋_GB2312" w:cs="仿宋_GB2312"/>
          <w:bCs/>
          <w:color w:val="000000"/>
          <w:kern w:val="0"/>
          <w:sz w:val="32"/>
          <w:szCs w:val="32"/>
        </w:rPr>
        <w:t>保留黄梨</w:t>
      </w:r>
      <w:r>
        <w:rPr>
          <w:rFonts w:hint="eastAsia" w:ascii="仿宋_GB2312" w:hAnsi="仿宋_GB2312" w:eastAsia="仿宋_GB2312" w:cs="仿宋_GB2312"/>
          <w:bCs/>
          <w:color w:val="000000"/>
          <w:kern w:val="0"/>
          <w:sz w:val="32"/>
          <w:szCs w:val="32"/>
          <w:lang w:eastAsia="zh-CN"/>
        </w:rPr>
        <w:t>的</w:t>
      </w:r>
      <w:r>
        <w:rPr>
          <w:rFonts w:hint="eastAsia" w:ascii="仿宋_GB2312" w:hAnsi="仿宋_GB2312" w:eastAsia="仿宋_GB2312" w:cs="仿宋_GB2312"/>
          <w:bCs/>
          <w:color w:val="000000"/>
          <w:kern w:val="0"/>
          <w:sz w:val="32"/>
          <w:szCs w:val="32"/>
        </w:rPr>
        <w:t>酸</w:t>
      </w:r>
      <w:r>
        <w:rPr>
          <w:rFonts w:hint="eastAsia" w:ascii="仿宋_GB2312" w:hAnsi="仿宋_GB2312" w:eastAsia="仿宋_GB2312" w:cs="仿宋_GB2312"/>
          <w:bCs/>
          <w:color w:val="000000"/>
          <w:kern w:val="0"/>
          <w:sz w:val="32"/>
          <w:szCs w:val="32"/>
          <w:lang w:eastAsia="zh-CN"/>
        </w:rPr>
        <w:t>性药用价值</w:t>
      </w:r>
      <w:r>
        <w:rPr>
          <w:rFonts w:hint="eastAsia" w:ascii="仿宋_GB2312" w:hAnsi="仿宋_GB2312" w:eastAsia="仿宋_GB2312" w:cs="仿宋_GB2312"/>
          <w:bCs/>
          <w:color w:val="000000"/>
          <w:kern w:val="0"/>
          <w:sz w:val="32"/>
          <w:szCs w:val="32"/>
        </w:rPr>
        <w:t>。大黄梨在窑洞中可以储存到</w:t>
      </w:r>
      <w:r>
        <w:rPr>
          <w:rFonts w:hint="eastAsia" w:ascii="仿宋_GB2312" w:hAnsi="仿宋_GB2312" w:eastAsia="仿宋_GB2312" w:cs="仿宋_GB2312"/>
          <w:bCs/>
          <w:color w:val="000000"/>
          <w:kern w:val="0"/>
          <w:sz w:val="32"/>
          <w:szCs w:val="32"/>
          <w:lang w:eastAsia="zh-CN"/>
        </w:rPr>
        <w:t>来</w:t>
      </w:r>
      <w:r>
        <w:rPr>
          <w:rFonts w:hint="eastAsia" w:ascii="仿宋_GB2312" w:hAnsi="仿宋_GB2312" w:eastAsia="仿宋_GB2312" w:cs="仿宋_GB2312"/>
          <w:bCs/>
          <w:color w:val="000000"/>
          <w:kern w:val="0"/>
          <w:sz w:val="32"/>
          <w:szCs w:val="32"/>
        </w:rPr>
        <w:t>年的农历3月</w:t>
      </w:r>
      <w:r>
        <w:rPr>
          <w:rFonts w:hint="eastAsia" w:ascii="仿宋_GB2312" w:hAnsi="仿宋_GB2312" w:eastAsia="仿宋_GB2312" w:cs="仿宋_GB2312"/>
          <w:bCs/>
          <w:color w:val="000000"/>
          <w:kern w:val="0"/>
          <w:sz w:val="32"/>
          <w:szCs w:val="32"/>
          <w:lang w:eastAsia="zh-CN"/>
        </w:rPr>
        <w:t>。</w:t>
      </w:r>
      <w:r>
        <w:rPr>
          <w:rFonts w:hint="default" w:ascii="仿宋_GB2312" w:hAnsi="仿宋_GB2312" w:eastAsia="仿宋_GB2312" w:cs="仿宋_GB2312"/>
          <w:bCs/>
          <w:color w:val="000000"/>
          <w:kern w:val="0"/>
          <w:sz w:val="32"/>
          <w:szCs w:val="32"/>
          <w:lang w:val="en-US" w:eastAsia="zh-CN"/>
        </w:rPr>
        <w:t>高平大黄梨富含原儿茶酸</w:t>
      </w:r>
      <w:r>
        <w:rPr>
          <w:rFonts w:hint="eastAsia" w:ascii="仿宋_GB2312" w:hAnsi="仿宋_GB2312" w:eastAsia="仿宋_GB2312" w:cs="仿宋_GB2312"/>
          <w:bCs/>
          <w:color w:val="000000"/>
          <w:kern w:val="0"/>
          <w:sz w:val="32"/>
          <w:szCs w:val="32"/>
          <w:lang w:val="en-US" w:eastAsia="zh-CN"/>
        </w:rPr>
        <w:t>，</w:t>
      </w:r>
      <w:r>
        <w:rPr>
          <w:rFonts w:hint="default" w:ascii="仿宋_GB2312" w:hAnsi="仿宋_GB2312" w:eastAsia="仿宋_GB2312" w:cs="仿宋_GB2312"/>
          <w:bCs/>
          <w:color w:val="000000"/>
          <w:kern w:val="0"/>
          <w:sz w:val="32"/>
          <w:szCs w:val="32"/>
          <w:lang w:val="en-US" w:eastAsia="zh-CN"/>
        </w:rPr>
        <w:t>具有抗菌、祛痰、止咳、平喘作用</w:t>
      </w:r>
      <w:r>
        <w:rPr>
          <w:rFonts w:hint="eastAsia" w:ascii="仿宋_GB2312" w:hAnsi="仿宋_GB2312" w:eastAsia="仿宋_GB2312" w:cs="仿宋_GB2312"/>
          <w:bCs/>
          <w:color w:val="000000"/>
          <w:kern w:val="0"/>
          <w:sz w:val="32"/>
          <w:szCs w:val="32"/>
          <w:lang w:val="en-US" w:eastAsia="zh-CN"/>
        </w:rPr>
        <w:t>；含有</w:t>
      </w:r>
      <w:r>
        <w:rPr>
          <w:rFonts w:hint="default" w:ascii="仿宋_GB2312" w:hAnsi="仿宋_GB2312" w:eastAsia="仿宋_GB2312" w:cs="仿宋_GB2312"/>
          <w:bCs/>
          <w:color w:val="000000"/>
          <w:kern w:val="0"/>
          <w:sz w:val="32"/>
          <w:szCs w:val="32"/>
          <w:lang w:val="en-US" w:eastAsia="zh-CN"/>
        </w:rPr>
        <w:t>山梨糖醇，是一种天然"泻药"，有通便润燥的作用</w:t>
      </w:r>
      <w:r>
        <w:rPr>
          <w:rFonts w:hint="eastAsia" w:ascii="仿宋_GB2312" w:hAnsi="仿宋_GB2312" w:eastAsia="仿宋_GB2312" w:cs="仿宋_GB2312"/>
          <w:bCs/>
          <w:color w:val="000000"/>
          <w:kern w:val="0"/>
          <w:sz w:val="32"/>
          <w:szCs w:val="32"/>
          <w:lang w:val="en-US" w:eastAsia="zh-CN"/>
        </w:rPr>
        <w:t>；含有</w:t>
      </w:r>
      <w:r>
        <w:rPr>
          <w:rFonts w:hint="default" w:ascii="仿宋_GB2312" w:hAnsi="仿宋_GB2312" w:eastAsia="仿宋_GB2312" w:cs="仿宋_GB2312"/>
          <w:bCs/>
          <w:color w:val="000000"/>
          <w:kern w:val="0"/>
          <w:sz w:val="32"/>
          <w:szCs w:val="32"/>
          <w:lang w:val="en-US" w:eastAsia="zh-CN"/>
        </w:rPr>
        <w:t>熊果苷，能够阻止黑色素的生成，祛除色斑和雀斑</w:t>
      </w:r>
      <w:r>
        <w:rPr>
          <w:rFonts w:hint="eastAsia" w:ascii="仿宋_GB2312" w:hAnsi="仿宋_GB2312" w:eastAsia="仿宋_GB2312" w:cs="仿宋_GB2312"/>
          <w:bCs/>
          <w:color w:val="000000"/>
          <w:kern w:val="0"/>
          <w:sz w:val="32"/>
          <w:szCs w:val="32"/>
          <w:lang w:val="en-US" w:eastAsia="zh-CN"/>
        </w:rPr>
        <w:t>；所含</w:t>
      </w:r>
      <w:r>
        <w:rPr>
          <w:rFonts w:hint="default" w:ascii="仿宋_GB2312" w:hAnsi="仿宋_GB2312" w:eastAsia="仿宋_GB2312" w:cs="仿宋_GB2312"/>
          <w:bCs/>
          <w:color w:val="000000"/>
          <w:kern w:val="0"/>
          <w:sz w:val="32"/>
          <w:szCs w:val="32"/>
          <w:lang w:val="en-US" w:eastAsia="zh-CN"/>
        </w:rPr>
        <w:t>膳食纤维可控重</w:t>
      </w:r>
      <w:r>
        <w:rPr>
          <w:rFonts w:hint="eastAsia" w:ascii="仿宋_GB2312" w:hAnsi="仿宋_GB2312" w:eastAsia="仿宋_GB2312" w:cs="仿宋_GB2312"/>
          <w:bCs/>
          <w:color w:val="000000"/>
          <w:kern w:val="0"/>
          <w:sz w:val="32"/>
          <w:szCs w:val="32"/>
          <w:lang w:val="en-US" w:eastAsia="zh-CN"/>
        </w:rPr>
        <w:t>、</w:t>
      </w:r>
      <w:r>
        <w:rPr>
          <w:rFonts w:hint="default" w:ascii="仿宋_GB2312" w:hAnsi="仿宋_GB2312" w:eastAsia="仿宋_GB2312" w:cs="仿宋_GB2312"/>
          <w:bCs/>
          <w:color w:val="000000"/>
          <w:kern w:val="0"/>
          <w:sz w:val="32"/>
          <w:szCs w:val="32"/>
          <w:lang w:val="en-US" w:eastAsia="zh-CN"/>
        </w:rPr>
        <w:t>减肥，</w:t>
      </w:r>
      <w:r>
        <w:rPr>
          <w:rFonts w:hint="eastAsia" w:ascii="仿宋_GB2312" w:hAnsi="仿宋_GB2312" w:eastAsia="仿宋_GB2312" w:cs="仿宋_GB2312"/>
          <w:bCs/>
          <w:color w:val="000000"/>
          <w:kern w:val="0"/>
          <w:sz w:val="32"/>
          <w:szCs w:val="32"/>
          <w:lang w:val="en-US" w:eastAsia="zh-CN"/>
        </w:rPr>
        <w:t>预防</w:t>
      </w:r>
      <w:r>
        <w:rPr>
          <w:rFonts w:hint="default" w:ascii="仿宋_GB2312" w:hAnsi="仿宋_GB2312" w:eastAsia="仿宋_GB2312" w:cs="仿宋_GB2312"/>
          <w:bCs/>
          <w:color w:val="000000"/>
          <w:kern w:val="0"/>
          <w:sz w:val="32"/>
          <w:szCs w:val="32"/>
          <w:lang w:val="en-US" w:eastAsia="zh-CN"/>
        </w:rPr>
        <w:t>血脂</w:t>
      </w:r>
      <w:r>
        <w:rPr>
          <w:rFonts w:hint="eastAsia" w:ascii="仿宋_GB2312" w:hAnsi="仿宋_GB2312" w:eastAsia="仿宋_GB2312" w:cs="仿宋_GB2312"/>
          <w:bCs/>
          <w:color w:val="000000"/>
          <w:kern w:val="0"/>
          <w:sz w:val="32"/>
          <w:szCs w:val="32"/>
          <w:lang w:val="en-US" w:eastAsia="zh-CN"/>
        </w:rPr>
        <w:t>升高</w:t>
      </w:r>
      <w:r>
        <w:rPr>
          <w:rFonts w:hint="default" w:ascii="仿宋_GB2312" w:hAnsi="仿宋_GB2312" w:eastAsia="仿宋_GB2312" w:cs="仿宋_GB2312"/>
          <w:bCs/>
          <w:color w:val="000000"/>
          <w:kern w:val="0"/>
          <w:sz w:val="32"/>
          <w:szCs w:val="32"/>
          <w:lang w:val="en-US" w:eastAsia="zh-CN"/>
        </w:rPr>
        <w:t>从而</w:t>
      </w:r>
      <w:r>
        <w:rPr>
          <w:rFonts w:hint="eastAsia" w:ascii="仿宋_GB2312" w:hAnsi="仿宋_GB2312" w:eastAsia="仿宋_GB2312" w:cs="仿宋_GB2312"/>
          <w:bCs/>
          <w:color w:val="000000"/>
          <w:kern w:val="0"/>
          <w:sz w:val="32"/>
          <w:szCs w:val="32"/>
          <w:lang w:val="en-US" w:eastAsia="zh-CN"/>
        </w:rPr>
        <w:t>降</w:t>
      </w:r>
      <w:r>
        <w:rPr>
          <w:rFonts w:hint="default" w:ascii="仿宋_GB2312" w:hAnsi="仿宋_GB2312" w:eastAsia="仿宋_GB2312" w:cs="仿宋_GB2312"/>
          <w:bCs/>
          <w:color w:val="000000"/>
          <w:kern w:val="0"/>
          <w:sz w:val="32"/>
          <w:szCs w:val="32"/>
          <w:lang w:val="en-US" w:eastAsia="zh-CN"/>
        </w:rPr>
        <w:t>低心脑血管疾病危</w:t>
      </w:r>
      <w:r>
        <w:rPr>
          <w:rFonts w:hint="eastAsia" w:ascii="仿宋_GB2312" w:hAnsi="仿宋_GB2312" w:eastAsia="仿宋_GB2312" w:cs="仿宋_GB2312"/>
          <w:bCs/>
          <w:color w:val="000000"/>
          <w:kern w:val="0"/>
          <w:sz w:val="32"/>
          <w:szCs w:val="32"/>
          <w:lang w:val="en-US" w:eastAsia="zh-CN"/>
        </w:rPr>
        <w:t>害</w:t>
      </w:r>
      <w:r>
        <w:rPr>
          <w:rFonts w:hint="default" w:ascii="仿宋_GB2312" w:hAnsi="仿宋_GB2312" w:eastAsia="仿宋_GB2312" w:cs="仿宋_GB2312"/>
          <w:bCs/>
          <w:color w:val="000000"/>
          <w:kern w:val="0"/>
          <w:sz w:val="32"/>
          <w:szCs w:val="32"/>
          <w:lang w:val="en-US" w:eastAsia="zh-CN"/>
        </w:rPr>
        <w:t>性</w:t>
      </w:r>
      <w:r>
        <w:rPr>
          <w:rFonts w:hint="eastAsia" w:ascii="仿宋_GB2312" w:hAnsi="仿宋_GB2312" w:eastAsia="仿宋_GB2312" w:cs="仿宋_GB2312"/>
          <w:bCs/>
          <w:color w:val="000000"/>
          <w:kern w:val="0"/>
          <w:sz w:val="32"/>
          <w:szCs w:val="32"/>
          <w:lang w:val="en-US" w:eastAsia="zh-CN"/>
        </w:rPr>
        <w:t>；所含</w:t>
      </w:r>
      <w:r>
        <w:rPr>
          <w:rFonts w:hint="default" w:ascii="仿宋_GB2312" w:hAnsi="仿宋_GB2312" w:eastAsia="仿宋_GB2312" w:cs="仿宋_GB2312"/>
          <w:bCs/>
          <w:color w:val="000000"/>
          <w:kern w:val="0"/>
          <w:sz w:val="32"/>
          <w:szCs w:val="32"/>
          <w:lang w:val="en-US" w:eastAsia="zh-CN"/>
        </w:rPr>
        <w:t>木质素</w:t>
      </w:r>
      <w:r>
        <w:rPr>
          <w:rFonts w:hint="eastAsia" w:ascii="仿宋_GB2312" w:hAnsi="仿宋_GB2312" w:eastAsia="仿宋_GB2312" w:cs="仿宋_GB2312"/>
          <w:bCs/>
          <w:color w:val="000000"/>
          <w:kern w:val="0"/>
          <w:sz w:val="32"/>
          <w:szCs w:val="32"/>
          <w:lang w:val="en-US" w:eastAsia="zh-CN"/>
        </w:rPr>
        <w:t>可有效激活</w:t>
      </w:r>
      <w:r>
        <w:rPr>
          <w:rFonts w:hint="default" w:ascii="仿宋_GB2312" w:hAnsi="仿宋_GB2312" w:eastAsia="仿宋_GB2312" w:cs="仿宋_GB2312"/>
          <w:bCs/>
          <w:color w:val="000000"/>
          <w:kern w:val="0"/>
          <w:sz w:val="32"/>
          <w:szCs w:val="32"/>
          <w:lang w:val="en-US" w:eastAsia="zh-CN"/>
        </w:rPr>
        <w:t>免疫系统，促进抗体产生，</w:t>
      </w:r>
      <w:r>
        <w:rPr>
          <w:rFonts w:hint="eastAsia" w:ascii="仿宋_GB2312" w:hAnsi="仿宋_GB2312" w:eastAsia="仿宋_GB2312" w:cs="仿宋_GB2312"/>
          <w:bCs/>
          <w:color w:val="000000"/>
          <w:kern w:val="0"/>
          <w:sz w:val="32"/>
          <w:szCs w:val="32"/>
          <w:lang w:val="en-US" w:eastAsia="zh-CN"/>
        </w:rPr>
        <w:t>提高免疫</w:t>
      </w:r>
      <w:r>
        <w:rPr>
          <w:rFonts w:hint="eastAsia" w:ascii="仿宋_GB2312" w:hAnsi="仿宋_GB2312" w:eastAsia="仿宋_GB2312" w:cs="仿宋_GB2312"/>
          <w:sz w:val="32"/>
          <w:szCs w:val="32"/>
          <w:lang w:val="en-US" w:eastAsia="zh-CN"/>
        </w:rPr>
        <w:t>能力。因此，当地中医常把大黄梨用作治病药方的药引。</w:t>
      </w:r>
    </w:p>
    <w:p w14:paraId="5B56855E">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老梨树防腐</w:t>
      </w:r>
      <w:r>
        <w:rPr>
          <w:rFonts w:hint="eastAsia" w:ascii="仿宋_GB2312" w:hAnsi="仿宋_GB2312" w:eastAsia="仿宋_GB2312" w:cs="仿宋_GB2312"/>
          <w:sz w:val="32"/>
          <w:szCs w:val="32"/>
          <w:lang w:val="zh-CN" w:eastAsia="zh-CN"/>
        </w:rPr>
        <w:t>技术</w:t>
      </w: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color w:val="auto"/>
          <w:sz w:val="32"/>
          <w:szCs w:val="32"/>
          <w:lang w:val="zh-CN" w:eastAsia="zh-CN"/>
        </w:rPr>
        <w:t>春夏之交，老</w:t>
      </w:r>
      <w:r>
        <w:rPr>
          <w:rFonts w:hint="eastAsia" w:ascii="仿宋_GB2312" w:hAnsi="仿宋_GB2312" w:eastAsia="仿宋_GB2312" w:cs="仿宋_GB2312"/>
          <w:sz w:val="32"/>
          <w:szCs w:val="32"/>
          <w:lang w:val="zh-CN" w:eastAsia="zh-CN"/>
        </w:rPr>
        <w:t>梨树容易出现树干腐烂现象，当地人常将</w:t>
      </w:r>
      <w:r>
        <w:rPr>
          <w:rFonts w:hint="default" w:ascii="仿宋_GB2312" w:hAnsi="仿宋_GB2312" w:eastAsia="仿宋_GB2312" w:cs="仿宋_GB2312"/>
          <w:sz w:val="32"/>
          <w:szCs w:val="32"/>
          <w:lang w:val="zh-CN" w:eastAsia="zh-CN"/>
        </w:rPr>
        <w:t>硫酸亚铁、石灰、秸秆混合土壤，</w:t>
      </w:r>
      <w:r>
        <w:rPr>
          <w:rFonts w:hint="eastAsia" w:ascii="仿宋_GB2312" w:hAnsi="仿宋_GB2312" w:eastAsia="仿宋_GB2312" w:cs="仿宋_GB2312"/>
          <w:sz w:val="32"/>
          <w:szCs w:val="32"/>
          <w:lang w:val="zh-CN" w:eastAsia="zh-CN"/>
        </w:rPr>
        <w:t>搅拌匀实后</w:t>
      </w:r>
      <w:r>
        <w:rPr>
          <w:rFonts w:hint="default" w:ascii="仿宋_GB2312" w:hAnsi="仿宋_GB2312" w:eastAsia="仿宋_GB2312" w:cs="仿宋_GB2312"/>
          <w:sz w:val="32"/>
          <w:szCs w:val="32"/>
          <w:lang w:val="zh-CN" w:eastAsia="zh-CN"/>
        </w:rPr>
        <w:t>糊在老</w:t>
      </w:r>
      <w:r>
        <w:rPr>
          <w:rFonts w:hint="eastAsia" w:ascii="仿宋_GB2312" w:hAnsi="仿宋_GB2312" w:eastAsia="仿宋_GB2312" w:cs="仿宋_GB2312"/>
          <w:sz w:val="32"/>
          <w:szCs w:val="32"/>
          <w:lang w:val="zh-CN" w:eastAsia="zh-CN"/>
        </w:rPr>
        <w:t>梨</w:t>
      </w:r>
      <w:r>
        <w:rPr>
          <w:rFonts w:hint="default" w:ascii="仿宋_GB2312" w:hAnsi="仿宋_GB2312" w:eastAsia="仿宋_GB2312" w:cs="仿宋_GB2312"/>
          <w:sz w:val="32"/>
          <w:szCs w:val="32"/>
          <w:lang w:val="zh-CN" w:eastAsia="zh-CN"/>
        </w:rPr>
        <w:t>树腐烂处，帮助老树</w:t>
      </w:r>
      <w:r>
        <w:rPr>
          <w:rFonts w:hint="eastAsia" w:ascii="仿宋_GB2312" w:hAnsi="仿宋_GB2312" w:eastAsia="仿宋_GB2312" w:cs="仿宋_GB2312"/>
          <w:sz w:val="32"/>
          <w:szCs w:val="32"/>
          <w:lang w:val="zh-CN" w:eastAsia="zh-CN"/>
        </w:rPr>
        <w:t>焕</w:t>
      </w:r>
      <w:r>
        <w:rPr>
          <w:rFonts w:hint="default" w:ascii="仿宋_GB2312" w:hAnsi="仿宋_GB2312" w:eastAsia="仿宋_GB2312" w:cs="仿宋_GB2312"/>
          <w:sz w:val="32"/>
          <w:szCs w:val="32"/>
          <w:lang w:val="zh-CN" w:eastAsia="zh-CN"/>
        </w:rPr>
        <w:t>发生机</w:t>
      </w:r>
      <w:r>
        <w:rPr>
          <w:rFonts w:hint="eastAsia" w:ascii="仿宋_GB2312" w:hAnsi="仿宋_GB2312" w:eastAsia="仿宋_GB2312" w:cs="仿宋_GB2312"/>
          <w:sz w:val="32"/>
          <w:szCs w:val="32"/>
          <w:lang w:val="zh-CN" w:eastAsia="zh-CN"/>
        </w:rPr>
        <w:t>，效果良好</w:t>
      </w:r>
      <w:r>
        <w:rPr>
          <w:rFonts w:hint="default" w:ascii="仿宋_GB2312" w:hAnsi="仿宋_GB2312" w:eastAsia="仿宋_GB2312" w:cs="仿宋_GB2312"/>
          <w:sz w:val="32"/>
          <w:szCs w:val="32"/>
          <w:lang w:val="zh-CN" w:eastAsia="zh-CN"/>
        </w:rPr>
        <w:t>。</w:t>
      </w:r>
    </w:p>
    <w:p w14:paraId="452F6165">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sz w:val="32"/>
          <w:szCs w:val="32"/>
          <w:lang w:val="en-US" w:eastAsia="zh-CN"/>
        </w:rPr>
        <w:t>（4）栽培管理技术：春天开花之前，一是给老梨树刮除陈</w:t>
      </w:r>
      <w:r>
        <w:rPr>
          <w:rFonts w:hint="eastAsia" w:ascii="仿宋_GB2312" w:hAnsi="仿宋_GB2312" w:eastAsia="仿宋_GB2312" w:cs="仿宋_GB2312"/>
          <w:bCs/>
          <w:color w:val="000000"/>
          <w:kern w:val="0"/>
          <w:sz w:val="32"/>
          <w:szCs w:val="32"/>
        </w:rPr>
        <w:t>旧老翘皮，也称“削刮梨树皮”，主要</w:t>
      </w:r>
      <w:r>
        <w:rPr>
          <w:rFonts w:hint="eastAsia" w:ascii="仿宋_GB2312" w:hAnsi="仿宋_GB2312" w:eastAsia="仿宋_GB2312" w:cs="仿宋_GB2312"/>
          <w:bCs/>
          <w:color w:val="000000"/>
          <w:kern w:val="0"/>
          <w:sz w:val="32"/>
          <w:szCs w:val="32"/>
          <w:lang w:eastAsia="zh-CN"/>
        </w:rPr>
        <w:t>是</w:t>
      </w:r>
      <w:r>
        <w:rPr>
          <w:rFonts w:hint="eastAsia" w:ascii="仿宋_GB2312" w:hAnsi="仿宋_GB2312" w:eastAsia="仿宋_GB2312" w:cs="仿宋_GB2312"/>
          <w:bCs/>
          <w:color w:val="000000"/>
          <w:kern w:val="0"/>
          <w:sz w:val="32"/>
          <w:szCs w:val="32"/>
        </w:rPr>
        <w:t>去除隐藏在树皮中的病虫害。削刮</w:t>
      </w:r>
      <w:r>
        <w:rPr>
          <w:rFonts w:hint="eastAsia" w:ascii="仿宋_GB2312" w:hAnsi="仿宋_GB2312" w:eastAsia="仿宋_GB2312" w:cs="仿宋_GB2312"/>
          <w:bCs/>
          <w:color w:val="000000"/>
          <w:kern w:val="0"/>
          <w:sz w:val="32"/>
          <w:szCs w:val="32"/>
          <w:lang w:eastAsia="zh-CN"/>
        </w:rPr>
        <w:t>过</w:t>
      </w:r>
      <w:r>
        <w:rPr>
          <w:rFonts w:hint="eastAsia" w:ascii="仿宋_GB2312" w:hAnsi="仿宋_GB2312" w:eastAsia="仿宋_GB2312" w:cs="仿宋_GB2312"/>
          <w:bCs/>
          <w:color w:val="000000"/>
          <w:kern w:val="0"/>
          <w:sz w:val="32"/>
          <w:szCs w:val="32"/>
        </w:rPr>
        <w:t>树皮的梨树，长出的梨，味道甘甜，吃着沙粒小，肉厚。</w:t>
      </w:r>
      <w:r>
        <w:rPr>
          <w:rFonts w:hint="eastAsia" w:ascii="仿宋_GB2312" w:hAnsi="仿宋_GB2312" w:eastAsia="仿宋_GB2312" w:cs="仿宋_GB2312"/>
          <w:bCs/>
          <w:color w:val="000000"/>
          <w:kern w:val="0"/>
          <w:sz w:val="32"/>
          <w:szCs w:val="32"/>
          <w:lang w:eastAsia="zh-CN"/>
        </w:rPr>
        <w:t>二</w:t>
      </w:r>
      <w:r>
        <w:rPr>
          <w:rFonts w:hint="eastAsia" w:ascii="仿宋_GB2312" w:hAnsi="仿宋_GB2312" w:eastAsia="仿宋_GB2312" w:cs="仿宋_GB2312"/>
          <w:bCs/>
          <w:color w:val="000000"/>
          <w:kern w:val="0"/>
          <w:sz w:val="32"/>
          <w:szCs w:val="32"/>
        </w:rPr>
        <w:t>是在梨树下挖一个圆盘似的聚肥沟池，用于施肥</w:t>
      </w:r>
      <w:r>
        <w:rPr>
          <w:rFonts w:hint="eastAsia" w:ascii="仿宋_GB2312" w:hAnsi="仿宋_GB2312" w:eastAsia="仿宋_GB2312" w:cs="仿宋_GB2312"/>
          <w:bCs/>
          <w:color w:val="000000"/>
          <w:kern w:val="0"/>
          <w:sz w:val="32"/>
          <w:szCs w:val="32"/>
          <w:lang w:eastAsia="zh-CN"/>
        </w:rPr>
        <w:t>保肥；按照传统“土方法”，</w:t>
      </w:r>
      <w:r>
        <w:rPr>
          <w:rFonts w:hint="eastAsia" w:ascii="仿宋_GB2312" w:hAnsi="仿宋_GB2312" w:eastAsia="仿宋_GB2312" w:cs="仿宋_GB2312"/>
          <w:bCs/>
          <w:color w:val="000000"/>
          <w:kern w:val="0"/>
          <w:sz w:val="32"/>
          <w:szCs w:val="32"/>
        </w:rPr>
        <w:t>一棵梨树要浇灌八担茅粪</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刮树皮和灌粪肥都属于</w:t>
      </w:r>
      <w:r>
        <w:rPr>
          <w:rFonts w:hint="eastAsia" w:ascii="仿宋_GB2312" w:hAnsi="仿宋_GB2312" w:eastAsia="仿宋_GB2312" w:cs="仿宋_GB2312"/>
          <w:bCs/>
          <w:color w:val="000000"/>
          <w:kern w:val="0"/>
          <w:sz w:val="32"/>
          <w:szCs w:val="32"/>
          <w:lang w:eastAsia="zh-CN"/>
        </w:rPr>
        <w:t>传统</w:t>
      </w:r>
      <w:r>
        <w:rPr>
          <w:rFonts w:hint="eastAsia" w:ascii="仿宋_GB2312" w:hAnsi="仿宋_GB2312" w:eastAsia="仿宋_GB2312" w:cs="仿宋_GB2312"/>
          <w:bCs/>
          <w:color w:val="000000"/>
          <w:kern w:val="0"/>
          <w:sz w:val="32"/>
          <w:szCs w:val="32"/>
        </w:rPr>
        <w:t>有机栽培技术措施，这</w:t>
      </w:r>
      <w:r>
        <w:rPr>
          <w:rFonts w:hint="eastAsia" w:ascii="仿宋_GB2312" w:hAnsi="仿宋_GB2312" w:eastAsia="仿宋_GB2312" w:cs="仿宋_GB2312"/>
          <w:bCs/>
          <w:color w:val="000000"/>
          <w:kern w:val="0"/>
          <w:sz w:val="32"/>
          <w:szCs w:val="32"/>
          <w:lang w:eastAsia="zh-CN"/>
        </w:rPr>
        <w:t>样</w:t>
      </w:r>
      <w:r>
        <w:rPr>
          <w:rFonts w:hint="eastAsia" w:ascii="仿宋_GB2312" w:hAnsi="仿宋_GB2312" w:eastAsia="仿宋_GB2312" w:cs="仿宋_GB2312"/>
          <w:bCs/>
          <w:color w:val="000000"/>
          <w:kern w:val="0"/>
          <w:sz w:val="32"/>
          <w:szCs w:val="32"/>
        </w:rPr>
        <w:t>长出的梨，个大、色黄、好吃、下火解毒功效明显。此外，冬季焚烧枯叶、烟雾防低温倒春</w:t>
      </w:r>
      <w:r>
        <w:rPr>
          <w:rFonts w:hint="eastAsia" w:ascii="仿宋_GB2312" w:hAnsi="仿宋_GB2312" w:eastAsia="仿宋_GB2312" w:cs="仿宋_GB2312"/>
          <w:bCs/>
          <w:color w:val="000000"/>
          <w:kern w:val="0"/>
          <w:sz w:val="32"/>
          <w:szCs w:val="32"/>
          <w:lang w:eastAsia="zh-CN"/>
        </w:rPr>
        <w:t>寒</w:t>
      </w:r>
      <w:r>
        <w:rPr>
          <w:rFonts w:hint="eastAsia" w:ascii="仿宋_GB2312" w:hAnsi="仿宋_GB2312" w:eastAsia="仿宋_GB2312" w:cs="仿宋_GB2312"/>
          <w:bCs/>
          <w:color w:val="000000"/>
          <w:kern w:val="0"/>
          <w:sz w:val="32"/>
          <w:szCs w:val="32"/>
        </w:rPr>
        <w:t>等传统种植技术对于</w:t>
      </w:r>
      <w:r>
        <w:rPr>
          <w:rFonts w:hint="eastAsia" w:ascii="仿宋_GB2312" w:hAnsi="仿宋_GB2312" w:eastAsia="仿宋_GB2312" w:cs="仿宋_GB2312"/>
          <w:bCs/>
          <w:color w:val="000000"/>
          <w:kern w:val="0"/>
          <w:sz w:val="32"/>
          <w:szCs w:val="32"/>
          <w:lang w:eastAsia="zh-CN"/>
        </w:rPr>
        <w:t>防止水土流失</w:t>
      </w:r>
      <w:r>
        <w:rPr>
          <w:rFonts w:hint="eastAsia" w:ascii="仿宋_GB2312" w:hAnsi="仿宋_GB2312" w:eastAsia="仿宋_GB2312" w:cs="仿宋_GB2312"/>
          <w:bCs/>
          <w:color w:val="000000"/>
          <w:kern w:val="0"/>
          <w:sz w:val="32"/>
          <w:szCs w:val="32"/>
        </w:rPr>
        <w:t>、保持水生态平衡等极具价值。</w:t>
      </w:r>
      <w:bookmarkStart w:id="11" w:name="_Toc16535"/>
    </w:p>
    <w:p w14:paraId="55B345D8">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3.农业景观</w:t>
      </w:r>
      <w:bookmarkEnd w:id="11"/>
      <w:r>
        <w:rPr>
          <w:rFonts w:hint="eastAsia" w:ascii="仿宋_GB2312" w:hAnsi="仿宋_GB2312" w:eastAsia="仿宋_GB2312" w:cs="仿宋_GB2312"/>
          <w:sz w:val="32"/>
          <w:szCs w:val="32"/>
          <w:lang w:val="en-US" w:eastAsia="zh-CN"/>
        </w:rPr>
        <w:tab/>
      </w:r>
    </w:p>
    <w:p w14:paraId="55C8D3A9">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5</w:t>
      </w:r>
      <w:r>
        <w:rPr>
          <w:rFonts w:hint="eastAsia" w:ascii="仿宋_GB2312" w:hAnsi="仿宋_GB2312" w:eastAsia="仿宋_GB2312" w:cs="仿宋_GB2312"/>
          <w:bCs/>
          <w:color w:val="000000"/>
          <w:kern w:val="0"/>
          <w:sz w:val="32"/>
          <w:szCs w:val="32"/>
          <w:lang w:eastAsia="zh-CN"/>
        </w:rPr>
        <w:t>）梨园自然风光。</w:t>
      </w:r>
      <w:r>
        <w:rPr>
          <w:rFonts w:hint="eastAsia" w:ascii="仿宋_GB2312" w:hAnsi="仿宋_GB2312" w:eastAsia="仿宋_GB2312" w:cs="仿宋_GB2312"/>
          <w:bCs/>
          <w:color w:val="000000"/>
          <w:kern w:val="0"/>
          <w:sz w:val="32"/>
          <w:szCs w:val="32"/>
        </w:rPr>
        <w:t>高平市铁炉贡梨种植专业合作社果园</w:t>
      </w:r>
      <w:r>
        <w:rPr>
          <w:rFonts w:hint="eastAsia" w:ascii="仿宋_GB2312" w:hAnsi="仿宋_GB2312" w:eastAsia="仿宋_GB2312" w:cs="仿宋_GB2312"/>
          <w:bCs/>
          <w:color w:val="000000"/>
          <w:kern w:val="0"/>
          <w:sz w:val="32"/>
          <w:szCs w:val="32"/>
          <w:lang w:eastAsia="zh-CN"/>
        </w:rPr>
        <w:t>，园内春季</w:t>
      </w:r>
      <w:r>
        <w:rPr>
          <w:rFonts w:hint="eastAsia" w:ascii="仿宋_GB2312" w:hAnsi="仿宋_GB2312" w:eastAsia="仿宋_GB2312" w:cs="仿宋_GB2312"/>
          <w:bCs/>
          <w:color w:val="000000"/>
          <w:kern w:val="0"/>
          <w:sz w:val="32"/>
          <w:szCs w:val="32"/>
        </w:rPr>
        <w:t>种植二月兰</w:t>
      </w:r>
      <w:r>
        <w:rPr>
          <w:rFonts w:hint="eastAsia" w:ascii="仿宋_GB2312" w:hAnsi="仿宋_GB2312" w:eastAsia="仿宋_GB2312" w:cs="仿宋_GB2312"/>
          <w:bCs/>
          <w:color w:val="000000"/>
          <w:kern w:val="0"/>
          <w:sz w:val="32"/>
          <w:szCs w:val="32"/>
          <w:lang w:eastAsia="zh-CN"/>
        </w:rPr>
        <w:t>、益母草</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lang w:eastAsia="zh-CN"/>
        </w:rPr>
        <w:t>届时</w:t>
      </w:r>
      <w:r>
        <w:rPr>
          <w:rFonts w:hint="eastAsia" w:ascii="仿宋_GB2312" w:hAnsi="仿宋_GB2312" w:eastAsia="仿宋_GB2312" w:cs="仿宋_GB2312"/>
          <w:bCs/>
          <w:color w:val="000000"/>
          <w:kern w:val="0"/>
          <w:sz w:val="32"/>
          <w:szCs w:val="32"/>
        </w:rPr>
        <w:t>树上白色梨花、树下紫色</w:t>
      </w:r>
      <w:r>
        <w:rPr>
          <w:rFonts w:hint="eastAsia" w:ascii="仿宋_GB2312" w:hAnsi="仿宋_GB2312" w:eastAsia="仿宋_GB2312" w:cs="仿宋_GB2312"/>
          <w:bCs/>
          <w:color w:val="000000"/>
          <w:kern w:val="0"/>
          <w:sz w:val="32"/>
          <w:szCs w:val="32"/>
          <w:lang w:eastAsia="zh-CN"/>
        </w:rPr>
        <w:t>草本花</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lang w:eastAsia="zh-CN"/>
        </w:rPr>
        <w:t>方园十里农田内花枝招展，交相辉映，草芳花香，沁人心脾，展示</w:t>
      </w:r>
      <w:r>
        <w:rPr>
          <w:rFonts w:hint="eastAsia" w:ascii="仿宋_GB2312" w:hAnsi="仿宋_GB2312" w:eastAsia="仿宋_GB2312" w:cs="仿宋_GB2312"/>
          <w:bCs/>
          <w:color w:val="000000"/>
          <w:kern w:val="0"/>
          <w:sz w:val="32"/>
          <w:szCs w:val="32"/>
        </w:rPr>
        <w:t>一幅</w:t>
      </w:r>
      <w:r>
        <w:rPr>
          <w:rFonts w:hint="eastAsia" w:ascii="仿宋_GB2312" w:hAnsi="仿宋_GB2312" w:eastAsia="仿宋_GB2312" w:cs="仿宋_GB2312"/>
          <w:bCs/>
          <w:color w:val="000000"/>
          <w:kern w:val="0"/>
          <w:sz w:val="32"/>
          <w:szCs w:val="32"/>
          <w:lang w:eastAsia="zh-CN"/>
        </w:rPr>
        <w:t>大田</w:t>
      </w:r>
      <w:r>
        <w:rPr>
          <w:rFonts w:hint="eastAsia" w:ascii="仿宋_GB2312" w:hAnsi="仿宋_GB2312" w:eastAsia="仿宋_GB2312" w:cs="仿宋_GB2312"/>
          <w:bCs/>
          <w:color w:val="000000"/>
          <w:kern w:val="0"/>
          <w:sz w:val="32"/>
          <w:szCs w:val="32"/>
        </w:rPr>
        <w:t>美景</w:t>
      </w:r>
      <w:r>
        <w:rPr>
          <w:rFonts w:hint="eastAsia" w:ascii="仿宋_GB2312" w:hAnsi="仿宋_GB2312" w:eastAsia="仿宋_GB2312" w:cs="仿宋_GB2312"/>
          <w:bCs/>
          <w:color w:val="000000"/>
          <w:kern w:val="0"/>
          <w:sz w:val="32"/>
          <w:szCs w:val="32"/>
          <w:lang w:eastAsia="zh-CN"/>
        </w:rPr>
        <w:t>，令人陶醉</w:t>
      </w:r>
      <w:r>
        <w:rPr>
          <w:rFonts w:hint="eastAsia" w:ascii="仿宋_GB2312" w:hAnsi="仿宋_GB2312" w:eastAsia="仿宋_GB2312" w:cs="仿宋_GB2312"/>
          <w:bCs/>
          <w:color w:val="000000"/>
          <w:kern w:val="0"/>
          <w:sz w:val="32"/>
          <w:szCs w:val="32"/>
        </w:rPr>
        <w:t>。</w:t>
      </w:r>
    </w:p>
    <w:p w14:paraId="6D5E1926">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6</w:t>
      </w:r>
      <w:r>
        <w:rPr>
          <w:rFonts w:hint="eastAsia" w:ascii="仿宋_GB2312" w:hAnsi="仿宋_GB2312" w:eastAsia="仿宋_GB2312" w:cs="仿宋_GB2312"/>
          <w:bCs/>
          <w:color w:val="000000"/>
          <w:kern w:val="0"/>
          <w:sz w:val="32"/>
          <w:szCs w:val="32"/>
          <w:lang w:eastAsia="zh-CN"/>
        </w:rPr>
        <w:t>）公园梨树风骚。</w:t>
      </w:r>
      <w:r>
        <w:rPr>
          <w:rFonts w:hint="eastAsia" w:ascii="仿宋_GB2312" w:hAnsi="仿宋_GB2312" w:eastAsia="仿宋_GB2312" w:cs="仿宋_GB2312"/>
          <w:bCs/>
          <w:color w:val="000000"/>
          <w:kern w:val="0"/>
          <w:sz w:val="32"/>
          <w:szCs w:val="32"/>
        </w:rPr>
        <w:t>釜山</w:t>
      </w:r>
      <w:r>
        <w:rPr>
          <w:rFonts w:hint="eastAsia" w:ascii="仿宋_GB2312" w:hAnsi="仿宋_GB2312" w:eastAsia="仿宋_GB2312" w:cs="仿宋_GB2312"/>
          <w:bCs/>
          <w:color w:val="000000"/>
          <w:kern w:val="0"/>
          <w:sz w:val="32"/>
          <w:szCs w:val="32"/>
          <w:lang w:eastAsia="zh-CN"/>
        </w:rPr>
        <w:t>古梨树公园，地处釜山水库下游，</w:t>
      </w:r>
      <w:r>
        <w:rPr>
          <w:rFonts w:hint="eastAsia" w:ascii="仿宋_GB2312" w:hAnsi="仿宋_GB2312" w:eastAsia="仿宋_GB2312" w:cs="仿宋_GB2312"/>
          <w:bCs/>
          <w:color w:val="000000"/>
          <w:kern w:val="0"/>
          <w:sz w:val="32"/>
          <w:szCs w:val="32"/>
        </w:rPr>
        <w:t>毗邻太行一号旅游公路。</w:t>
      </w:r>
      <w:r>
        <w:rPr>
          <w:rFonts w:hint="eastAsia" w:ascii="仿宋_GB2312" w:hAnsi="仿宋_GB2312" w:eastAsia="仿宋_GB2312" w:cs="仿宋_GB2312"/>
          <w:bCs/>
          <w:color w:val="000000"/>
          <w:kern w:val="0"/>
          <w:sz w:val="32"/>
          <w:szCs w:val="32"/>
          <w:lang w:eastAsia="zh-CN"/>
        </w:rPr>
        <w:t>公园内水流潺潺，</w:t>
      </w:r>
      <w:r>
        <w:rPr>
          <w:rFonts w:hint="eastAsia" w:ascii="仿宋_GB2312" w:hAnsi="仿宋_GB2312" w:eastAsia="仿宋_GB2312" w:cs="仿宋_GB2312"/>
          <w:bCs/>
          <w:color w:val="000000"/>
          <w:kern w:val="0"/>
          <w:sz w:val="32"/>
          <w:szCs w:val="32"/>
          <w:lang w:val="en-US" w:eastAsia="zh-CN"/>
        </w:rPr>
        <w:t>绿树成荫，蛙声起伏，</w:t>
      </w:r>
      <w:r>
        <w:rPr>
          <w:rFonts w:hint="eastAsia" w:ascii="仿宋_GB2312" w:hAnsi="仿宋_GB2312" w:eastAsia="仿宋_GB2312" w:cs="仿宋_GB2312"/>
          <w:bCs/>
          <w:color w:val="000000"/>
          <w:kern w:val="0"/>
          <w:sz w:val="32"/>
          <w:szCs w:val="32"/>
          <w:lang w:eastAsia="zh-CN"/>
        </w:rPr>
        <w:t>梨花飘香，与周边水库、野花相映成趣，一派梨白杏红、山欢水笑自然风光。漫步梨树丛中，融在自然怀抱，慢享</w:t>
      </w:r>
      <w:r>
        <w:rPr>
          <w:rFonts w:hint="eastAsia" w:ascii="仿宋_GB2312" w:hAnsi="仿宋_GB2312" w:eastAsia="仿宋_GB2312" w:cs="仿宋_GB2312"/>
          <w:bCs/>
          <w:color w:val="000000"/>
          <w:kern w:val="0"/>
          <w:sz w:val="32"/>
          <w:szCs w:val="32"/>
        </w:rPr>
        <w:t>“入目皆景，</w:t>
      </w:r>
      <w:r>
        <w:rPr>
          <w:rFonts w:hint="eastAsia" w:ascii="仿宋_GB2312" w:hAnsi="仿宋_GB2312" w:eastAsia="仿宋_GB2312" w:cs="仿宋_GB2312"/>
          <w:bCs/>
          <w:color w:val="000000"/>
          <w:kern w:val="0"/>
          <w:sz w:val="32"/>
          <w:szCs w:val="32"/>
          <w:lang w:eastAsia="zh-CN"/>
        </w:rPr>
        <w:t>生态</w:t>
      </w:r>
      <w:r>
        <w:rPr>
          <w:rFonts w:hint="eastAsia" w:ascii="仿宋_GB2312" w:hAnsi="仿宋_GB2312" w:eastAsia="仿宋_GB2312" w:cs="仿宋_GB2312"/>
          <w:bCs/>
          <w:color w:val="000000"/>
          <w:kern w:val="0"/>
          <w:sz w:val="32"/>
          <w:szCs w:val="32"/>
        </w:rPr>
        <w:t>画廊”</w:t>
      </w:r>
      <w:r>
        <w:rPr>
          <w:rFonts w:hint="eastAsia" w:ascii="仿宋_GB2312" w:hAnsi="仿宋_GB2312" w:eastAsia="仿宋_GB2312" w:cs="仿宋_GB2312"/>
          <w:bCs/>
          <w:color w:val="000000"/>
          <w:kern w:val="0"/>
          <w:sz w:val="32"/>
          <w:szCs w:val="32"/>
          <w:lang w:eastAsia="zh-CN"/>
        </w:rPr>
        <w:t>，别有一番风味在心头</w:t>
      </w:r>
      <w:r>
        <w:rPr>
          <w:rFonts w:hint="eastAsia" w:ascii="仿宋_GB2312" w:hAnsi="仿宋_GB2312" w:eastAsia="仿宋_GB2312" w:cs="仿宋_GB2312"/>
          <w:bCs/>
          <w:color w:val="000000"/>
          <w:kern w:val="0"/>
          <w:sz w:val="32"/>
          <w:szCs w:val="32"/>
        </w:rPr>
        <w:t>。</w:t>
      </w:r>
    </w:p>
    <w:p w14:paraId="10A5D51C">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7</w:t>
      </w:r>
      <w:r>
        <w:rPr>
          <w:rFonts w:hint="eastAsia" w:ascii="仿宋_GB2312" w:hAnsi="仿宋_GB2312" w:eastAsia="仿宋_GB2312" w:cs="仿宋_GB2312"/>
          <w:bCs/>
          <w:color w:val="000000"/>
          <w:kern w:val="0"/>
          <w:sz w:val="32"/>
          <w:szCs w:val="32"/>
          <w:lang w:eastAsia="zh-CN"/>
        </w:rPr>
        <w:t>）古梨孤傲风韵。高平古梨树众多，有树冠硕大数百平米的，有根系蔓延数十米的，有树茎中空但枝叶依然繁茂的，</w:t>
      </w:r>
      <w:r>
        <w:rPr>
          <w:rFonts w:hint="eastAsia" w:ascii="仿宋_GB2312" w:hAnsi="仿宋_GB2312" w:eastAsia="仿宋_GB2312" w:cs="仿宋_GB2312"/>
          <w:bCs/>
          <w:color w:val="000000"/>
          <w:kern w:val="0"/>
          <w:sz w:val="32"/>
          <w:szCs w:val="32"/>
        </w:rPr>
        <w:t>寺庄镇伞盖村老梨树，粗度两人</w:t>
      </w:r>
      <w:r>
        <w:rPr>
          <w:rFonts w:hint="eastAsia" w:ascii="仿宋_GB2312" w:hAnsi="仿宋_GB2312" w:eastAsia="仿宋_GB2312" w:cs="仿宋_GB2312"/>
          <w:bCs/>
          <w:color w:val="000000"/>
          <w:kern w:val="0"/>
          <w:sz w:val="32"/>
          <w:szCs w:val="32"/>
          <w:lang w:eastAsia="zh-CN"/>
        </w:rPr>
        <w:t>难以</w:t>
      </w:r>
      <w:r>
        <w:rPr>
          <w:rFonts w:hint="eastAsia" w:ascii="仿宋_GB2312" w:hAnsi="仿宋_GB2312" w:eastAsia="仿宋_GB2312" w:cs="仿宋_GB2312"/>
          <w:bCs/>
          <w:color w:val="000000"/>
          <w:kern w:val="0"/>
          <w:sz w:val="32"/>
          <w:szCs w:val="32"/>
        </w:rPr>
        <w:t>环抱，</w:t>
      </w:r>
      <w:r>
        <w:rPr>
          <w:rFonts w:hint="eastAsia" w:ascii="仿宋_GB2312" w:hAnsi="仿宋_GB2312" w:eastAsia="仿宋_GB2312" w:cs="仿宋_GB2312"/>
          <w:bCs/>
          <w:color w:val="000000"/>
          <w:kern w:val="0"/>
          <w:sz w:val="32"/>
          <w:szCs w:val="32"/>
          <w:lang w:eastAsia="zh-CN"/>
        </w:rPr>
        <w:t>如此种种，凸显傲骨沧桑，随处一站，便是靓丽</w:t>
      </w:r>
      <w:r>
        <w:rPr>
          <w:rFonts w:hint="eastAsia" w:ascii="仿宋_GB2312" w:hAnsi="仿宋_GB2312" w:eastAsia="仿宋_GB2312" w:cs="仿宋_GB2312"/>
          <w:bCs/>
          <w:color w:val="000000"/>
          <w:kern w:val="0"/>
          <w:sz w:val="32"/>
          <w:szCs w:val="32"/>
        </w:rPr>
        <w:t>风景</w:t>
      </w:r>
      <w:r>
        <w:rPr>
          <w:rFonts w:hint="eastAsia" w:ascii="仿宋_GB2312" w:hAnsi="仿宋_GB2312" w:eastAsia="仿宋_GB2312" w:cs="仿宋_GB2312"/>
          <w:bCs/>
          <w:color w:val="000000"/>
          <w:kern w:val="0"/>
          <w:sz w:val="32"/>
          <w:szCs w:val="32"/>
          <w:lang w:eastAsia="zh-CN"/>
        </w:rPr>
        <w:t>，风韵独领</w:t>
      </w:r>
      <w:r>
        <w:rPr>
          <w:rFonts w:hint="eastAsia" w:ascii="仿宋_GB2312" w:hAnsi="仿宋_GB2312" w:eastAsia="仿宋_GB2312" w:cs="仿宋_GB2312"/>
          <w:bCs/>
          <w:color w:val="000000"/>
          <w:kern w:val="0"/>
          <w:sz w:val="32"/>
          <w:szCs w:val="32"/>
        </w:rPr>
        <w:t>。</w:t>
      </w:r>
      <w:bookmarkStart w:id="12" w:name="_Toc23897"/>
    </w:p>
    <w:p w14:paraId="76F82990">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4.节庆活动</w:t>
      </w:r>
      <w:bookmarkEnd w:id="12"/>
    </w:p>
    <w:p w14:paraId="560902F7">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8</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文化</w:t>
      </w:r>
      <w:r>
        <w:rPr>
          <w:rFonts w:hint="eastAsia" w:ascii="仿宋_GB2312" w:hAnsi="仿宋_GB2312" w:eastAsia="仿宋_GB2312" w:cs="仿宋_GB2312"/>
          <w:bCs/>
          <w:color w:val="000000"/>
          <w:kern w:val="0"/>
          <w:sz w:val="32"/>
          <w:szCs w:val="32"/>
          <w:lang w:eastAsia="zh-CN"/>
        </w:rPr>
        <w:t>活动</w:t>
      </w:r>
      <w:r>
        <w:rPr>
          <w:rFonts w:hint="eastAsia" w:ascii="仿宋_GB2312" w:hAnsi="仿宋_GB2312" w:eastAsia="仿宋_GB2312" w:cs="仿宋_GB2312"/>
          <w:bCs/>
          <w:color w:val="000000"/>
          <w:kern w:val="0"/>
          <w:sz w:val="32"/>
          <w:szCs w:val="32"/>
        </w:rPr>
        <w:t>：每年四月中</w:t>
      </w:r>
      <w:r>
        <w:rPr>
          <w:rFonts w:hint="eastAsia" w:ascii="仿宋_GB2312" w:hAnsi="仿宋_GB2312" w:eastAsia="仿宋_GB2312" w:cs="仿宋_GB2312"/>
          <w:bCs/>
          <w:color w:val="000000"/>
          <w:kern w:val="0"/>
          <w:sz w:val="32"/>
          <w:szCs w:val="32"/>
          <w:lang w:eastAsia="zh-CN"/>
        </w:rPr>
        <w:t>、下</w:t>
      </w:r>
      <w:r>
        <w:rPr>
          <w:rFonts w:hint="eastAsia" w:ascii="仿宋_GB2312" w:hAnsi="仿宋_GB2312" w:eastAsia="仿宋_GB2312" w:cs="仿宋_GB2312"/>
          <w:bCs/>
          <w:color w:val="000000"/>
          <w:kern w:val="0"/>
          <w:sz w:val="32"/>
          <w:szCs w:val="32"/>
        </w:rPr>
        <w:t>旬，梨花盛开，</w:t>
      </w:r>
      <w:r>
        <w:rPr>
          <w:rFonts w:hint="eastAsia" w:ascii="仿宋_GB2312" w:hAnsi="仿宋_GB2312" w:eastAsia="仿宋_GB2312" w:cs="仿宋_GB2312"/>
          <w:bCs/>
          <w:color w:val="000000"/>
          <w:kern w:val="0"/>
          <w:sz w:val="32"/>
          <w:szCs w:val="32"/>
          <w:lang w:eastAsia="zh-CN"/>
        </w:rPr>
        <w:t>大地花团锦簇，</w:t>
      </w:r>
      <w:r>
        <w:rPr>
          <w:rFonts w:hint="eastAsia" w:ascii="仿宋_GB2312" w:hAnsi="仿宋_GB2312" w:eastAsia="仿宋_GB2312" w:cs="仿宋_GB2312"/>
          <w:bCs/>
          <w:color w:val="000000"/>
          <w:kern w:val="0"/>
          <w:sz w:val="32"/>
          <w:szCs w:val="32"/>
        </w:rPr>
        <w:t>我市</w:t>
      </w:r>
      <w:r>
        <w:rPr>
          <w:rFonts w:hint="eastAsia" w:ascii="仿宋_GB2312" w:hAnsi="仿宋_GB2312" w:eastAsia="仿宋_GB2312" w:cs="仿宋_GB2312"/>
          <w:bCs/>
          <w:color w:val="000000"/>
          <w:kern w:val="0"/>
          <w:sz w:val="32"/>
          <w:szCs w:val="32"/>
          <w:lang w:eastAsia="zh-CN"/>
        </w:rPr>
        <w:t>各乡镇牵头、梨农主体组织、社会各界参与，隆重举办</w:t>
      </w:r>
      <w:r>
        <w:rPr>
          <w:rFonts w:hint="eastAsia" w:ascii="仿宋_GB2312" w:hAnsi="仿宋_GB2312" w:eastAsia="仿宋_GB2312" w:cs="仿宋_GB2312"/>
          <w:bCs/>
          <w:color w:val="000000"/>
          <w:kern w:val="0"/>
          <w:sz w:val="32"/>
          <w:szCs w:val="32"/>
        </w:rPr>
        <w:t>梨花节</w:t>
      </w:r>
      <w:r>
        <w:rPr>
          <w:rFonts w:hint="eastAsia" w:ascii="仿宋_GB2312" w:hAnsi="仿宋_GB2312" w:eastAsia="仿宋_GB2312" w:cs="仿宋_GB2312"/>
          <w:bCs/>
          <w:color w:val="000000"/>
          <w:kern w:val="0"/>
          <w:sz w:val="32"/>
          <w:szCs w:val="32"/>
          <w:lang w:eastAsia="zh-CN"/>
        </w:rPr>
        <w:t>，展现</w:t>
      </w:r>
      <w:r>
        <w:rPr>
          <w:rFonts w:hint="eastAsia" w:ascii="仿宋_GB2312" w:hAnsi="仿宋_GB2312" w:eastAsia="仿宋_GB2312" w:cs="仿宋_GB2312"/>
          <w:bCs/>
          <w:color w:val="000000"/>
          <w:kern w:val="0"/>
          <w:sz w:val="32"/>
          <w:szCs w:val="32"/>
        </w:rPr>
        <w:t>“梨园风情”</w:t>
      </w:r>
      <w:r>
        <w:rPr>
          <w:rFonts w:hint="eastAsia" w:ascii="仿宋_GB2312" w:hAnsi="仿宋_GB2312" w:eastAsia="仿宋_GB2312" w:cs="仿宋_GB2312"/>
          <w:bCs/>
          <w:color w:val="000000"/>
          <w:kern w:val="0"/>
          <w:sz w:val="32"/>
          <w:szCs w:val="32"/>
          <w:lang w:eastAsia="zh-CN"/>
        </w:rPr>
        <w:t>，期盼梨果丰收</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lang w:eastAsia="zh-CN"/>
        </w:rPr>
        <w:t>截至</w:t>
      </w:r>
      <w:bookmarkStart w:id="36" w:name="_GoBack"/>
      <w:bookmarkEnd w:id="36"/>
      <w:r>
        <w:rPr>
          <w:rFonts w:hint="eastAsia" w:ascii="仿宋_GB2312" w:hAnsi="仿宋_GB2312" w:eastAsia="仿宋_GB2312" w:cs="仿宋_GB2312"/>
          <w:bCs/>
          <w:color w:val="000000"/>
          <w:kern w:val="0"/>
          <w:sz w:val="32"/>
          <w:szCs w:val="32"/>
          <w:lang w:val="en-US" w:eastAsia="zh-CN"/>
        </w:rPr>
        <w:t>2025年底，</w:t>
      </w:r>
      <w:r>
        <w:rPr>
          <w:rFonts w:hint="eastAsia" w:ascii="仿宋_GB2312" w:hAnsi="仿宋_GB2312" w:eastAsia="仿宋_GB2312" w:cs="仿宋_GB2312"/>
          <w:bCs/>
          <w:color w:val="000000"/>
          <w:kern w:val="0"/>
          <w:sz w:val="32"/>
          <w:szCs w:val="32"/>
        </w:rPr>
        <w:t>陈区镇和寺庄镇连续8年举办“梨花深处是我家”主题梨花节。</w:t>
      </w:r>
      <w:r>
        <w:rPr>
          <w:rFonts w:hint="eastAsia" w:ascii="仿宋_GB2312" w:hAnsi="仿宋_GB2312" w:eastAsia="仿宋_GB2312" w:cs="仿宋_GB2312"/>
          <w:bCs/>
          <w:color w:val="000000"/>
          <w:kern w:val="0"/>
          <w:sz w:val="32"/>
          <w:szCs w:val="32"/>
          <w:lang w:eastAsia="zh-CN"/>
        </w:rPr>
        <w:t>同时，坚持“梨园</w:t>
      </w:r>
      <w:r>
        <w:rPr>
          <w:rFonts w:hint="eastAsia" w:ascii="仿宋_GB2312" w:hAnsi="仿宋_GB2312" w:eastAsia="仿宋_GB2312" w:cs="仿宋_GB2312"/>
          <w:bCs/>
          <w:color w:val="000000"/>
          <w:kern w:val="0"/>
          <w:sz w:val="32"/>
          <w:szCs w:val="32"/>
          <w:lang w:val="en-US" w:eastAsia="zh-CN"/>
        </w:rPr>
        <w:t>+</w:t>
      </w:r>
      <w:r>
        <w:rPr>
          <w:rFonts w:hint="eastAsia" w:ascii="仿宋_GB2312" w:hAnsi="仿宋_GB2312" w:eastAsia="仿宋_GB2312" w:cs="仿宋_GB2312"/>
          <w:bCs/>
          <w:color w:val="000000"/>
          <w:kern w:val="0"/>
          <w:sz w:val="32"/>
          <w:szCs w:val="32"/>
          <w:lang w:eastAsia="zh-CN"/>
        </w:rPr>
        <w:t>”思路，组织</w:t>
      </w:r>
      <w:r>
        <w:rPr>
          <w:rFonts w:hint="eastAsia" w:ascii="仿宋_GB2312" w:hAnsi="仿宋_GB2312" w:eastAsia="仿宋_GB2312" w:cs="仿宋_GB2312"/>
          <w:bCs/>
          <w:color w:val="000000"/>
          <w:kern w:val="0"/>
          <w:sz w:val="32"/>
          <w:szCs w:val="32"/>
        </w:rPr>
        <w:t>丰富多彩的文艺节目，邀请“梨园春”上党梆子名家</w:t>
      </w:r>
      <w:r>
        <w:rPr>
          <w:rFonts w:hint="eastAsia" w:ascii="仿宋_GB2312" w:hAnsi="仿宋_GB2312" w:eastAsia="仿宋_GB2312" w:cs="仿宋_GB2312"/>
          <w:bCs/>
          <w:color w:val="000000"/>
          <w:kern w:val="0"/>
          <w:sz w:val="32"/>
          <w:szCs w:val="32"/>
          <w:lang w:eastAsia="zh-CN"/>
        </w:rPr>
        <w:t>现场演出，吸引游客，展示梨园生态康养环境，宣传梨产品，唱响</w:t>
      </w:r>
      <w:r>
        <w:rPr>
          <w:rFonts w:hint="eastAsia" w:ascii="仿宋_GB2312" w:hAnsi="仿宋_GB2312" w:eastAsia="仿宋_GB2312" w:cs="仿宋_GB2312"/>
          <w:bCs/>
          <w:color w:val="000000"/>
          <w:kern w:val="0"/>
          <w:sz w:val="32"/>
          <w:szCs w:val="32"/>
        </w:rPr>
        <w:t>梨园美景和梨园戏曲</w:t>
      </w:r>
      <w:r>
        <w:rPr>
          <w:rFonts w:hint="eastAsia" w:ascii="仿宋_GB2312" w:hAnsi="仿宋_GB2312" w:eastAsia="仿宋_GB2312" w:cs="仿宋_GB2312"/>
          <w:bCs/>
          <w:color w:val="000000"/>
          <w:kern w:val="0"/>
          <w:sz w:val="32"/>
          <w:szCs w:val="32"/>
          <w:lang w:eastAsia="zh-CN"/>
        </w:rPr>
        <w:t>交融的独特梨文化</w:t>
      </w:r>
      <w:r>
        <w:rPr>
          <w:rFonts w:hint="eastAsia" w:ascii="仿宋_GB2312" w:hAnsi="仿宋_GB2312" w:eastAsia="仿宋_GB2312" w:cs="仿宋_GB2312"/>
          <w:bCs/>
          <w:color w:val="000000"/>
          <w:kern w:val="0"/>
          <w:sz w:val="32"/>
          <w:szCs w:val="32"/>
        </w:rPr>
        <w:t>。</w:t>
      </w:r>
    </w:p>
    <w:p w14:paraId="3F12B3B7">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9</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节</w:t>
      </w:r>
      <w:r>
        <w:rPr>
          <w:rFonts w:hint="eastAsia" w:ascii="仿宋_GB2312" w:hAnsi="仿宋_GB2312" w:eastAsia="仿宋_GB2312" w:cs="仿宋_GB2312"/>
          <w:bCs/>
          <w:color w:val="000000"/>
          <w:kern w:val="0"/>
          <w:sz w:val="32"/>
          <w:szCs w:val="32"/>
          <w:lang w:eastAsia="zh-CN"/>
        </w:rPr>
        <w:t>日庆典</w:t>
      </w:r>
      <w:r>
        <w:rPr>
          <w:rFonts w:hint="eastAsia" w:ascii="仿宋_GB2312" w:hAnsi="仿宋_GB2312" w:eastAsia="仿宋_GB2312" w:cs="仿宋_GB2312"/>
          <w:bCs/>
          <w:color w:val="000000"/>
          <w:kern w:val="0"/>
          <w:sz w:val="32"/>
          <w:szCs w:val="32"/>
        </w:rPr>
        <w:t>：在春节、清明、中秋等重大传统节日，当地群众常以黄梨鲜果敬献先人、告祭祖宗，表达对先人的怀念和尊重。日常庙堂祷告，以鲜梨果盘作为供品，祈求风调雨顺、家庭平安。春季开始生产活动和秋收结束等重要生产节点，常以鲜梨敬拜谷神或土地，期盼生产安全和粮食丰收；重要生产节点、重大民俗文化活动，也以分享鲜梨作为幸事，表达喜悦之情。</w:t>
      </w:r>
      <w:bookmarkStart w:id="13" w:name="_Toc12556"/>
    </w:p>
    <w:p w14:paraId="34DEE86F">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5.传统习俗</w:t>
      </w:r>
      <w:bookmarkEnd w:id="13"/>
      <w:r>
        <w:rPr>
          <w:rFonts w:hint="eastAsia" w:ascii="仿宋_GB2312" w:hAnsi="仿宋_GB2312" w:eastAsia="仿宋_GB2312" w:cs="仿宋_GB2312"/>
          <w:sz w:val="32"/>
          <w:szCs w:val="32"/>
          <w:lang w:val="en-US" w:eastAsia="zh-CN"/>
        </w:rPr>
        <w:tab/>
      </w:r>
    </w:p>
    <w:p w14:paraId="1ADB3FE8">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bCs/>
          <w:color w:val="000000"/>
          <w:kern w:val="0"/>
          <w:sz w:val="32"/>
          <w:szCs w:val="32"/>
          <w:lang w:eastAsia="zh-CN"/>
        </w:rPr>
      </w:pP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10</w:t>
      </w:r>
      <w:r>
        <w:rPr>
          <w:rFonts w:hint="eastAsia" w:ascii="仿宋_GB2312" w:hAnsi="仿宋_GB2312" w:eastAsia="仿宋_GB2312" w:cs="仿宋_GB2312"/>
          <w:bCs/>
          <w:color w:val="000000"/>
          <w:kern w:val="0"/>
          <w:sz w:val="32"/>
          <w:szCs w:val="32"/>
          <w:lang w:eastAsia="zh-CN"/>
        </w:rPr>
        <w:t>）饮食文化。悠久的历史、独特的禀赋孕育了丰富的梨果饮食文化。梨果作为重要辅食，除鲜食外，高平的先人们创造了</w:t>
      </w:r>
      <w:r>
        <w:rPr>
          <w:rFonts w:hint="eastAsia" w:ascii="仿宋_GB2312" w:hAnsi="仿宋_GB2312" w:eastAsia="仿宋_GB2312" w:cs="仿宋_GB2312"/>
          <w:bCs/>
          <w:color w:val="000000"/>
          <w:kern w:val="0"/>
          <w:sz w:val="32"/>
          <w:szCs w:val="32"/>
        </w:rPr>
        <w:t>煮、晒、蒸、炖、烤</w:t>
      </w:r>
      <w:r>
        <w:rPr>
          <w:rFonts w:hint="eastAsia" w:ascii="仿宋_GB2312" w:hAnsi="仿宋_GB2312" w:eastAsia="仿宋_GB2312" w:cs="仿宋_GB2312"/>
          <w:bCs/>
          <w:color w:val="000000"/>
          <w:kern w:val="0"/>
          <w:sz w:val="32"/>
          <w:szCs w:val="32"/>
          <w:lang w:eastAsia="zh-CN"/>
        </w:rPr>
        <w:t>等各种</w:t>
      </w:r>
      <w:r>
        <w:rPr>
          <w:rFonts w:hint="eastAsia" w:ascii="仿宋_GB2312" w:hAnsi="仿宋_GB2312" w:eastAsia="仿宋_GB2312" w:cs="仿宋_GB2312"/>
          <w:bCs/>
          <w:color w:val="000000"/>
          <w:kern w:val="0"/>
          <w:sz w:val="32"/>
          <w:szCs w:val="32"/>
        </w:rPr>
        <w:t>风味</w:t>
      </w:r>
      <w:r>
        <w:rPr>
          <w:rFonts w:hint="eastAsia" w:ascii="仿宋_GB2312" w:hAnsi="仿宋_GB2312" w:eastAsia="仿宋_GB2312" w:cs="仿宋_GB2312"/>
          <w:bCs/>
          <w:color w:val="000000"/>
          <w:kern w:val="0"/>
          <w:sz w:val="32"/>
          <w:szCs w:val="32"/>
          <w:lang w:eastAsia="zh-CN"/>
        </w:rPr>
        <w:t>吃法。不同的吃法有不同的口感和食效，如鲜梨利口、蒸梨清喉、烤梨治咳嗽。</w:t>
      </w:r>
      <w:r>
        <w:rPr>
          <w:rFonts w:hint="eastAsia" w:ascii="仿宋_GB2312" w:hAnsi="仿宋_GB2312" w:eastAsia="仿宋_GB2312" w:cs="仿宋_GB2312"/>
          <w:bCs/>
          <w:color w:val="000000"/>
          <w:kern w:val="0"/>
          <w:sz w:val="32"/>
          <w:szCs w:val="32"/>
        </w:rPr>
        <w:t>地方特色餐“高平十大碗”中有一碗“扁豆汤”</w:t>
      </w:r>
      <w:r>
        <w:rPr>
          <w:rFonts w:hint="eastAsia" w:ascii="仿宋_GB2312" w:hAnsi="仿宋_GB2312" w:eastAsia="仿宋_GB2312" w:cs="仿宋_GB2312"/>
          <w:bCs/>
          <w:color w:val="000000"/>
          <w:kern w:val="0"/>
          <w:sz w:val="32"/>
          <w:szCs w:val="32"/>
          <w:lang w:eastAsia="zh-CN"/>
        </w:rPr>
        <w:t>，就是用扁豆掺杂蜂蜜和梨熬制的一道美食，口味独特，深受客人喜爱。梨果饮食不仅有利身体健康，更提高了人们生活品质。</w:t>
      </w:r>
    </w:p>
    <w:p w14:paraId="265441D9">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11）生活习惯。梨园空气清新，生态环境好，是大自然馈赠的天然养吧，也是现代人康养胜地。尤其是春季梨花溢香、夏季清凉幽香、秋季梨果飘香，其情其景对缓解心情、纾解压力效果特好。闲暇时人们到果园散步、品茶，吸吮梨香，融入自然，体会人生，慢享生活，已经成为当地人一种健康生活方式。</w:t>
      </w:r>
      <w:bookmarkStart w:id="14" w:name="_Toc17532"/>
    </w:p>
    <w:p w14:paraId="33492F81">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6.传承人队伍</w:t>
      </w:r>
      <w:bookmarkEnd w:id="14"/>
      <w:r>
        <w:rPr>
          <w:rFonts w:hint="eastAsia" w:ascii="仿宋_GB2312" w:hAnsi="仿宋_GB2312" w:eastAsia="仿宋_GB2312" w:cs="仿宋_GB2312"/>
          <w:sz w:val="32"/>
          <w:szCs w:val="32"/>
          <w:lang w:val="en-US" w:eastAsia="zh-CN"/>
        </w:rPr>
        <w:tab/>
      </w:r>
    </w:p>
    <w:p w14:paraId="486D10E7">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12</w:t>
      </w:r>
      <w:r>
        <w:rPr>
          <w:rFonts w:hint="eastAsia" w:ascii="仿宋_GB2312" w:hAnsi="仿宋_GB2312" w:eastAsia="仿宋_GB2312" w:cs="仿宋_GB2312"/>
          <w:bCs/>
          <w:color w:val="000000"/>
          <w:kern w:val="0"/>
          <w:sz w:val="32"/>
          <w:szCs w:val="32"/>
          <w:lang w:eastAsia="zh-CN"/>
        </w:rPr>
        <w:t>）梨果文化传承代表。</w:t>
      </w:r>
      <w:r>
        <w:rPr>
          <w:rFonts w:hint="eastAsia" w:ascii="仿宋_GB2312" w:hAnsi="仿宋_GB2312" w:eastAsia="仿宋_GB2312" w:cs="仿宋_GB2312"/>
          <w:bCs/>
          <w:color w:val="000000"/>
          <w:kern w:val="0"/>
          <w:sz w:val="32"/>
          <w:szCs w:val="32"/>
        </w:rPr>
        <w:t>我市有果农2万户，近6万人直接或间接从事梨果种植、管理、仓储、销售。</w:t>
      </w:r>
      <w:r>
        <w:rPr>
          <w:rFonts w:hint="eastAsia" w:ascii="仿宋_GB2312" w:hAnsi="仿宋_GB2312" w:eastAsia="仿宋_GB2312" w:cs="仿宋_GB2312"/>
          <w:bCs/>
          <w:color w:val="000000"/>
          <w:kern w:val="0"/>
          <w:sz w:val="32"/>
          <w:szCs w:val="32"/>
          <w:lang w:eastAsia="zh-CN"/>
        </w:rPr>
        <w:t>其中有一批人倾心黄梨生产、钟爱黄梨文化、潜心黄梨价值探索，持续传承着黄梨非遗文化。其代表人物</w:t>
      </w:r>
      <w:r>
        <w:rPr>
          <w:rFonts w:hint="eastAsia" w:ascii="仿宋_GB2312" w:hAnsi="仿宋_GB2312" w:eastAsia="仿宋_GB2312" w:cs="仿宋_GB2312"/>
          <w:bCs/>
          <w:color w:val="000000"/>
          <w:kern w:val="0"/>
          <w:sz w:val="32"/>
          <w:szCs w:val="32"/>
          <w:lang w:val="en-US" w:eastAsia="zh-CN"/>
        </w:rPr>
        <w:t>明细见附件三。</w:t>
      </w:r>
      <w:bookmarkStart w:id="15" w:name="_Toc31047"/>
    </w:p>
    <w:p w14:paraId="7EC6B182">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（五）核心保护要素面临的风险</w:t>
      </w:r>
      <w:bookmarkEnd w:id="15"/>
    </w:p>
    <w:p w14:paraId="5CFEA2E3">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古老物种逐年萎缩。老梨树作为农业领域一种古老物种，内含众多优质遗传基因。作为种子资源，其对于果树品种改良、增强果树抗病抗虫抗害等生物属性研究具有重大意义。由于树龄及人们保护意识缺乏等原因，老梨树数量逐年减少，意味着优质种子资源正在逐步遗失。</w:t>
      </w:r>
    </w:p>
    <w:p w14:paraId="2794A638">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传统技艺逐步丢失。随着生产技术进步、机械化耕作普及以及智能化提高，一些传统种植技艺被代替，随之而来的是生产效率提高了，产量增加了，但果品质量下降了，药用价值可能降低，需要在部分果园保留传统耕作技艺或将传统耕作技艺融入现代管理中。</w:t>
      </w:r>
    </w:p>
    <w:p w14:paraId="40749F2D">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文化属性逐渐淡忘。高平大黄梨是我市地理标志产品，与其他地方梨产品有着明显的地理、成分、药性等差别。高平是炎帝故里，黄梨作为高平农产品，内附有独特的祭奠、民俗、文化等属性，承载着传承农耕文明的责任。延续梨文化就是延续文明、留住文化之根。</w:t>
      </w:r>
    </w:p>
    <w:p w14:paraId="21FD9B7A">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Calibri" w:hAnsi="Calibri" w:eastAsia="仿宋_GB2312" w:cs="Calibri"/>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4.传承队伍逐次减少。讲好梨故事、研究梨价值、挖掘梨文化，需要一批高素质的传承人。现有的传承人存在年龄大、学历低、理论水平不高等特征。由于农业产业风险高、周期长、利润低，对年轻人吸引力不大。随着时间推移，传承人年岁增高，传承</w:t>
      </w:r>
      <w:r>
        <w:rPr>
          <w:rFonts w:hint="eastAsia" w:ascii="Calibri" w:hAnsi="Calibri" w:eastAsia="仿宋_GB2312" w:cs="Calibri"/>
          <w:b w:val="0"/>
          <w:bCs w:val="0"/>
          <w:color w:val="000000"/>
          <w:kern w:val="0"/>
          <w:sz w:val="32"/>
          <w:szCs w:val="32"/>
          <w:lang w:val="en-US" w:eastAsia="zh-CN" w:bidi="ar"/>
        </w:rPr>
        <w:t>队伍逐年减少的趋势越来越明显。</w:t>
      </w:r>
      <w:bookmarkStart w:id="16" w:name="_Toc32133"/>
    </w:p>
    <w:p w14:paraId="147DE485">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二、项目资金安排计划</w:t>
      </w:r>
      <w:bookmarkEnd w:id="16"/>
    </w:p>
    <w:p w14:paraId="33ABF5FC">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未来三年（2026-2028年），计划安排项目</w:t>
      </w:r>
      <w:r>
        <w:rPr>
          <w:rFonts w:hint="eastAsia" w:ascii="仿宋_GB2312" w:hAnsi="仿宋" w:eastAsia="仿宋_GB2312"/>
          <w:sz w:val="32"/>
          <w:szCs w:val="32"/>
          <w:lang w:val="en-US" w:eastAsia="zh-CN"/>
        </w:rPr>
        <w:t>7</w:t>
      </w:r>
      <w:r>
        <w:rPr>
          <w:rFonts w:hint="eastAsia" w:ascii="仿宋_GB2312" w:hAnsi="仿宋" w:eastAsia="仿宋_GB2312"/>
          <w:sz w:val="32"/>
          <w:szCs w:val="32"/>
        </w:rPr>
        <w:t>个，项目资金</w:t>
      </w:r>
      <w:r>
        <w:rPr>
          <w:rFonts w:hint="eastAsia" w:ascii="仿宋_GB2312" w:hAnsi="仿宋" w:eastAsia="仿宋_GB2312"/>
          <w:sz w:val="32"/>
          <w:szCs w:val="32"/>
          <w:lang w:val="en-US" w:eastAsia="zh-CN"/>
        </w:rPr>
        <w:t>360</w:t>
      </w:r>
      <w:r>
        <w:rPr>
          <w:rFonts w:hint="eastAsia" w:ascii="仿宋_GB2312" w:hAnsi="仿宋" w:eastAsia="仿宋_GB2312"/>
          <w:sz w:val="32"/>
          <w:szCs w:val="32"/>
        </w:rPr>
        <w:t>万元。</w:t>
      </w:r>
      <w:r>
        <w:rPr>
          <w:rFonts w:hint="eastAsia" w:ascii="仿宋_GB2312" w:hAnsi="仿宋" w:eastAsia="仿宋_GB2312"/>
          <w:color w:val="000000" w:themeColor="text1"/>
          <w:sz w:val="32"/>
          <w:szCs w:val="32"/>
          <w14:textFill>
            <w14:solidFill>
              <w14:schemeClr w14:val="tx1"/>
            </w14:solidFill>
          </w14:textFill>
        </w:rPr>
        <w:t>按照资金来源渠道划分，财政资金支持项目</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个，项目资金</w:t>
      </w:r>
      <w:r>
        <w:rPr>
          <w:rFonts w:hint="eastAsia" w:ascii="仿宋_GB2312" w:hAnsi="仿宋" w:eastAsia="仿宋_GB2312"/>
          <w:color w:val="000000" w:themeColor="text1"/>
          <w:sz w:val="32"/>
          <w:szCs w:val="32"/>
          <w:lang w:val="en-US" w:eastAsia="zh-CN"/>
          <w14:textFill>
            <w14:solidFill>
              <w14:schemeClr w14:val="tx1"/>
            </w14:solidFill>
          </w14:textFill>
        </w:rPr>
        <w:t>80</w:t>
      </w:r>
      <w:r>
        <w:rPr>
          <w:rFonts w:hint="eastAsia" w:ascii="仿宋_GB2312" w:hAnsi="仿宋" w:eastAsia="仿宋_GB2312"/>
          <w:color w:val="000000" w:themeColor="text1"/>
          <w:sz w:val="32"/>
          <w:szCs w:val="32"/>
          <w14:textFill>
            <w14:solidFill>
              <w14:schemeClr w14:val="tx1"/>
            </w14:solidFill>
          </w14:textFill>
        </w:rPr>
        <w:t>万元，</w:t>
      </w:r>
      <w:r>
        <w:rPr>
          <w:rFonts w:hint="eastAsia" w:ascii="仿宋_GB2312" w:hAnsi="仿宋" w:eastAsia="仿宋_GB2312"/>
          <w:color w:val="000000" w:themeColor="text1"/>
          <w:sz w:val="32"/>
          <w:szCs w:val="32"/>
          <w:lang w:val="en-US" w:eastAsia="zh-CN"/>
          <w14:textFill>
            <w14:solidFill>
              <w14:schemeClr w14:val="tx1"/>
            </w14:solidFill>
          </w14:textFill>
        </w:rPr>
        <w:t>公益项目1个，无需项目资金，企业</w:t>
      </w:r>
      <w:r>
        <w:rPr>
          <w:rFonts w:hint="eastAsia" w:ascii="仿宋_GB2312" w:hAnsi="仿宋" w:eastAsia="仿宋_GB2312"/>
          <w:color w:val="000000" w:themeColor="text1"/>
          <w:sz w:val="32"/>
          <w:szCs w:val="32"/>
          <w14:textFill>
            <w14:solidFill>
              <w14:schemeClr w14:val="tx1"/>
            </w14:solidFill>
          </w14:textFill>
        </w:rPr>
        <w:t>自筹项目</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个，项目资金</w:t>
      </w:r>
      <w:r>
        <w:rPr>
          <w:rFonts w:hint="eastAsia" w:ascii="仿宋_GB2312" w:hAnsi="仿宋" w:eastAsia="仿宋_GB2312"/>
          <w:color w:val="000000" w:themeColor="text1"/>
          <w:sz w:val="32"/>
          <w:szCs w:val="32"/>
          <w:lang w:val="en-US" w:eastAsia="zh-CN"/>
          <w14:textFill>
            <w14:solidFill>
              <w14:schemeClr w14:val="tx1"/>
            </w14:solidFill>
          </w14:textFill>
        </w:rPr>
        <w:t>250</w:t>
      </w:r>
      <w:r>
        <w:rPr>
          <w:rFonts w:hint="eastAsia" w:ascii="仿宋_GB2312" w:hAnsi="仿宋" w:eastAsia="仿宋_GB2312"/>
          <w:color w:val="000000" w:themeColor="text1"/>
          <w:sz w:val="32"/>
          <w:szCs w:val="32"/>
          <w14:textFill>
            <w14:solidFill>
              <w14:schemeClr w14:val="tx1"/>
            </w14:solidFill>
          </w14:textFill>
        </w:rPr>
        <w:t>万元</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财政资金支持+企业自筹1个，项目资金30万元</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sz w:val="32"/>
          <w:szCs w:val="32"/>
        </w:rPr>
        <w:t>按照领域划分，保护领域项目</w:t>
      </w:r>
      <w:r>
        <w:rPr>
          <w:rFonts w:hint="eastAsia" w:ascii="仿宋_GB2312" w:hAnsi="仿宋" w:eastAsia="仿宋_GB2312"/>
          <w:sz w:val="32"/>
          <w:szCs w:val="32"/>
          <w:lang w:val="en-US" w:eastAsia="zh-CN"/>
        </w:rPr>
        <w:t>2</w:t>
      </w:r>
      <w:r>
        <w:rPr>
          <w:rFonts w:hint="eastAsia" w:ascii="仿宋_GB2312" w:hAnsi="仿宋" w:eastAsia="仿宋_GB2312"/>
          <w:sz w:val="32"/>
          <w:szCs w:val="32"/>
        </w:rPr>
        <w:t>个，项目资金</w:t>
      </w:r>
      <w:r>
        <w:rPr>
          <w:rFonts w:hint="eastAsia" w:ascii="仿宋_GB2312" w:hAnsi="仿宋" w:eastAsia="仿宋_GB2312"/>
          <w:sz w:val="32"/>
          <w:szCs w:val="32"/>
          <w:lang w:val="en-US" w:eastAsia="zh-CN"/>
        </w:rPr>
        <w:t>50</w:t>
      </w:r>
      <w:r>
        <w:rPr>
          <w:rFonts w:hint="eastAsia" w:ascii="仿宋_GB2312" w:hAnsi="仿宋" w:eastAsia="仿宋_GB2312"/>
          <w:sz w:val="32"/>
          <w:szCs w:val="32"/>
        </w:rPr>
        <w:t>万元，传承领域项目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个，项目资金</w:t>
      </w:r>
      <w:r>
        <w:rPr>
          <w:rFonts w:ascii="仿宋_GB2312" w:hAnsi="仿宋" w:eastAsia="仿宋_GB2312"/>
          <w:sz w:val="32"/>
          <w:szCs w:val="32"/>
        </w:rPr>
        <w:t>1</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万元，发展领域项目</w:t>
      </w:r>
      <w:r>
        <w:rPr>
          <w:rFonts w:hint="eastAsia" w:ascii="仿宋_GB2312" w:hAnsi="仿宋" w:eastAsia="仿宋_GB2312"/>
          <w:sz w:val="32"/>
          <w:szCs w:val="32"/>
          <w:lang w:val="en-US" w:eastAsia="zh-CN"/>
        </w:rPr>
        <w:t>4</w:t>
      </w:r>
      <w:r>
        <w:rPr>
          <w:rFonts w:hint="eastAsia" w:ascii="仿宋_GB2312" w:hAnsi="仿宋" w:eastAsia="仿宋_GB2312"/>
          <w:sz w:val="32"/>
          <w:szCs w:val="32"/>
        </w:rPr>
        <w:t>个，项目资金</w:t>
      </w:r>
      <w:r>
        <w:rPr>
          <w:rFonts w:hint="eastAsia" w:ascii="仿宋_GB2312" w:hAnsi="仿宋" w:eastAsia="仿宋_GB2312"/>
          <w:sz w:val="32"/>
          <w:szCs w:val="32"/>
          <w:lang w:val="en-US" w:eastAsia="zh-CN"/>
        </w:rPr>
        <w:t>300</w:t>
      </w:r>
      <w:r>
        <w:rPr>
          <w:rFonts w:hint="eastAsia" w:ascii="仿宋_GB2312" w:hAnsi="仿宋" w:eastAsia="仿宋_GB2312"/>
          <w:sz w:val="32"/>
          <w:szCs w:val="32"/>
        </w:rPr>
        <w:t>万元。</w:t>
      </w:r>
    </w:p>
    <w:p w14:paraId="7A51A2F7">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每个项目的名称、牵头和参与单位、投入方式、预算金额、主要内容、预期效果等具体如下：</w:t>
      </w:r>
      <w:bookmarkStart w:id="17" w:name="_Toc31007"/>
    </w:p>
    <w:p w14:paraId="4B9EC6C1">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b/>
          <w:bCs/>
          <w:sz w:val="32"/>
          <w:szCs w:val="32"/>
          <w:lang w:val="en-US" w:eastAsia="zh-CN"/>
        </w:rPr>
        <w:t>（一）老梨树普查</w:t>
      </w:r>
      <w:bookmarkEnd w:id="17"/>
    </w:p>
    <w:p w14:paraId="3894F816">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项目由高平市林业局牵头，高平市农业农村局、各乡（镇、办事处）参与，通过下乡普查、乡镇申报等方式进行，实施期限为2026-2028年。聚焦百年以上老梨树，围绕老梨树的位置、数量、树龄、树形、花期、产量、生长现状、健康状况等要素，在全市黄梨种植分布区尤其是核心保护区进行全面摸底调查。通过老梨树普查，全面掌握老梨树分布与生长状况，为我市黄梨产业发展壮大奠定基础。</w:t>
      </w:r>
      <w:bookmarkStart w:id="18" w:name="_Toc23746"/>
    </w:p>
    <w:p w14:paraId="7D0B0D2C">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b/>
          <w:bCs/>
          <w:sz w:val="32"/>
          <w:szCs w:val="32"/>
          <w:lang w:val="en-US" w:eastAsia="zh-CN"/>
        </w:rPr>
        <w:t>（二）黄梨文化传承人培养工程</w:t>
      </w:r>
      <w:bookmarkEnd w:id="18"/>
    </w:p>
    <w:p w14:paraId="2D39F3A8">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项目由</w:t>
      </w:r>
      <w:r>
        <w:rPr>
          <w:rFonts w:hint="eastAsia" w:ascii="仿宋_GB2312" w:hAnsi="仿宋_GB2312" w:eastAsia="仿宋_GB2312" w:cs="仿宋_GB2312"/>
          <w:color w:val="auto"/>
          <w:kern w:val="0"/>
          <w:sz w:val="32"/>
          <w:szCs w:val="32"/>
          <w:lang w:val="en-US" w:eastAsia="zh-CN" w:bidi="ar"/>
        </w:rPr>
        <w:t>高平市农业农村局牵头、各有关乡（镇、办事处）参与，财政资金投入10万元，实施期限为2026-2028年。</w:t>
      </w:r>
      <w:r>
        <w:rPr>
          <w:rFonts w:hint="eastAsia" w:ascii="仿宋_GB2312" w:hAnsi="仿宋_GB2312" w:eastAsia="仿宋_GB2312" w:cs="仿宋_GB2312"/>
          <w:color w:val="000000"/>
          <w:kern w:val="0"/>
          <w:sz w:val="32"/>
          <w:szCs w:val="32"/>
          <w:lang w:val="en-US" w:eastAsia="zh-CN" w:bidi="ar"/>
        </w:rPr>
        <w:t>聚焦传统农技培养、研究梨风俗</w:t>
      </w:r>
      <w:r>
        <w:rPr>
          <w:rFonts w:hint="eastAsia"/>
          <w:b w:val="0"/>
          <w:bCs w:val="0"/>
          <w:lang w:val="en-US" w:eastAsia="zh-CN"/>
        </w:rPr>
        <w:t xml:space="preserve"> </w:t>
      </w:r>
      <w:r>
        <w:rPr>
          <w:rFonts w:hint="eastAsia" w:ascii="仿宋_GB2312" w:hAnsi="仿宋_GB2312" w:eastAsia="仿宋_GB2312" w:cs="仿宋_GB2312"/>
          <w:color w:val="000000"/>
          <w:kern w:val="0"/>
          <w:sz w:val="32"/>
          <w:szCs w:val="32"/>
          <w:lang w:val="en-US" w:eastAsia="zh-CN" w:bidi="ar"/>
        </w:rPr>
        <w:t>、挖掘梨文化，遴选一批梨文化爱好者，担负梨文化传承职责，采取传统农技集中培训、黄梨文化座谈会等形式，出台传承人优惠政策，</w:t>
      </w:r>
      <w:r>
        <w:rPr>
          <w:rFonts w:ascii="仿宋_GB2312" w:hAnsi="仿宋" w:eastAsia="仿宋_GB2312"/>
          <w:sz w:val="32"/>
          <w:szCs w:val="32"/>
        </w:rPr>
        <w:t>培</w:t>
      </w:r>
      <w:r>
        <w:rPr>
          <w:rFonts w:hint="eastAsia" w:ascii="仿宋_GB2312" w:hAnsi="仿宋" w:eastAsia="仿宋_GB2312"/>
          <w:sz w:val="32"/>
          <w:szCs w:val="32"/>
          <w:lang w:eastAsia="zh-CN"/>
        </w:rPr>
        <w:t>养一批黄梨文化爱好者，培育</w:t>
      </w:r>
      <w:r>
        <w:rPr>
          <w:rFonts w:hint="eastAsia" w:ascii="仿宋_GB2312" w:hAnsi="仿宋" w:eastAsia="仿宋_GB2312"/>
          <w:sz w:val="32"/>
          <w:szCs w:val="32"/>
          <w:lang w:val="en-US" w:eastAsia="zh-CN"/>
        </w:rPr>
        <w:t>2名高素质非遗传承人</w:t>
      </w:r>
      <w:r>
        <w:rPr>
          <w:rFonts w:hint="eastAsia" w:ascii="仿宋_GB2312" w:hAnsi="仿宋_GB2312" w:eastAsia="仿宋_GB2312" w:cs="仿宋_GB2312"/>
          <w:color w:val="000000"/>
          <w:kern w:val="0"/>
          <w:sz w:val="32"/>
          <w:szCs w:val="32"/>
          <w:lang w:val="en-US" w:eastAsia="zh-CN" w:bidi="ar"/>
        </w:rPr>
        <w:t>。</w:t>
      </w:r>
      <w:bookmarkStart w:id="19" w:name="_Toc8245"/>
    </w:p>
    <w:p w14:paraId="403943BA">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b/>
          <w:bCs/>
          <w:sz w:val="32"/>
          <w:szCs w:val="32"/>
          <w:lang w:val="en-US" w:eastAsia="zh-CN"/>
        </w:rPr>
        <w:t>（三）老梨树规范化管理</w:t>
      </w:r>
      <w:bookmarkEnd w:id="19"/>
      <w:r>
        <w:rPr>
          <w:rFonts w:hint="eastAsia" w:ascii="楷体" w:hAnsi="楷体" w:eastAsia="楷体" w:cs="楷体"/>
          <w:b/>
          <w:bCs/>
          <w:sz w:val="32"/>
          <w:szCs w:val="32"/>
          <w:lang w:val="en-US" w:eastAsia="zh-CN"/>
        </w:rPr>
        <w:t>项目</w:t>
      </w:r>
    </w:p>
    <w:p w14:paraId="3BCA300B">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宋体" w:eastAsia="仿宋_GB2312" w:cs="宋体"/>
          <w:color w:val="000000" w:themeColor="text1"/>
          <w:sz w:val="32"/>
          <w:szCs w:val="32"/>
          <w:lang w:val="en-US" w:eastAsia="zh-CN"/>
          <w14:textFill>
            <w14:solidFill>
              <w14:schemeClr w14:val="tx1"/>
            </w14:solidFill>
          </w14:textFill>
        </w:rPr>
      </w:pPr>
      <w:r>
        <w:rPr>
          <w:rFonts w:hint="eastAsia" w:ascii="仿宋_GB2312" w:hAnsi="宋体" w:eastAsia="仿宋_GB2312" w:cs="宋体"/>
          <w:color w:val="000000" w:themeColor="text1"/>
          <w:sz w:val="32"/>
          <w:szCs w:val="32"/>
          <w:lang w:val="en-US" w:eastAsia="zh-CN"/>
          <w14:textFill>
            <w14:solidFill>
              <w14:schemeClr w14:val="tx1"/>
            </w14:solidFill>
          </w14:textFill>
        </w:rPr>
        <w:t>项目由</w:t>
      </w:r>
      <w:r>
        <w:rPr>
          <w:rFonts w:hint="eastAsia" w:ascii="仿宋_GB2312" w:hAnsi="宋体" w:eastAsia="仿宋_GB2312" w:cs="宋体"/>
          <w:color w:val="000000" w:themeColor="text1"/>
          <w:sz w:val="32"/>
          <w:szCs w:val="32"/>
          <w14:textFill>
            <w14:solidFill>
              <w14:schemeClr w14:val="tx1"/>
            </w14:solidFill>
          </w14:textFill>
        </w:rPr>
        <w:t>高平市农业农村局</w:t>
      </w:r>
      <w:r>
        <w:rPr>
          <w:rFonts w:hint="eastAsia" w:ascii="仿宋_GB2312" w:hAnsi="宋体" w:eastAsia="仿宋_GB2312" w:cs="宋体"/>
          <w:color w:val="000000" w:themeColor="text1"/>
          <w:sz w:val="32"/>
          <w:szCs w:val="32"/>
          <w:lang w:val="en-US" w:eastAsia="zh-CN"/>
          <w14:textFill>
            <w14:solidFill>
              <w14:schemeClr w14:val="tx1"/>
            </w14:solidFill>
          </w14:textFill>
        </w:rPr>
        <w:t>牵头、各有关</w:t>
      </w:r>
      <w:r>
        <w:rPr>
          <w:rFonts w:hint="eastAsia" w:ascii="仿宋_GB2312" w:hAnsi="仿宋_GB2312" w:eastAsia="仿宋_GB2312" w:cs="仿宋_GB2312"/>
          <w:color w:val="auto"/>
          <w:kern w:val="0"/>
          <w:sz w:val="32"/>
          <w:szCs w:val="32"/>
          <w:lang w:val="en-US" w:eastAsia="zh-CN" w:bidi="ar"/>
        </w:rPr>
        <w:t>乡（镇、办事处）、梨园主体参与，财政资金投入50万元，实施期限为2026-2028年。</w:t>
      </w:r>
      <w:r>
        <w:rPr>
          <w:rFonts w:hint="eastAsia" w:ascii="仿宋_GB2312" w:hAnsi="宋体" w:eastAsia="仿宋_GB2312" w:cs="宋体"/>
          <w:color w:val="000000" w:themeColor="text1"/>
          <w:sz w:val="32"/>
          <w:szCs w:val="32"/>
          <w:lang w:val="en-US" w:eastAsia="zh-CN"/>
          <w14:textFill>
            <w14:solidFill>
              <w14:schemeClr w14:val="tx1"/>
            </w14:solidFill>
          </w14:textFill>
        </w:rPr>
        <w:t>通过刮树皮、整形修剪、病虫害防治等技术措施，</w:t>
      </w:r>
      <w:r>
        <w:rPr>
          <w:rFonts w:hint="eastAsia" w:ascii="仿宋_GB2312" w:hAnsi="宋体" w:eastAsia="仿宋_GB2312" w:cs="宋体"/>
          <w:color w:val="000000" w:themeColor="text1"/>
          <w:sz w:val="32"/>
          <w:szCs w:val="32"/>
          <w14:textFill>
            <w14:solidFill>
              <w14:schemeClr w14:val="tx1"/>
            </w14:solidFill>
          </w14:textFill>
        </w:rPr>
        <w:t>培养健壮枝组，恢复树体树势</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lang w:val="en-US" w:eastAsia="zh-CN"/>
          <w14:textFill>
            <w14:solidFill>
              <w14:schemeClr w14:val="tx1"/>
            </w14:solidFill>
          </w14:textFill>
        </w:rPr>
        <w:t>规范化管理老梨树500亩（约5000棵）。</w:t>
      </w:r>
      <w:bookmarkStart w:id="20" w:name="_Toc30130"/>
    </w:p>
    <w:p w14:paraId="27386720">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（四）黄梨标准化种植园建设工程</w:t>
      </w:r>
      <w:bookmarkEnd w:id="20"/>
    </w:p>
    <w:p w14:paraId="28B29F97">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宋体" w:eastAsia="仿宋_GB2312" w:cs="宋体"/>
          <w:color w:val="000000" w:themeColor="text1"/>
          <w:sz w:val="32"/>
          <w:szCs w:val="32"/>
          <w:lang w:val="en-US" w:eastAsia="zh-CN"/>
          <w14:textFill>
            <w14:solidFill>
              <w14:schemeClr w14:val="tx1"/>
            </w14:solidFill>
          </w14:textFill>
        </w:rPr>
      </w:pPr>
      <w:r>
        <w:rPr>
          <w:rFonts w:hint="eastAsia" w:ascii="仿宋_GB2312" w:hAnsi="宋体" w:eastAsia="仿宋_GB2312" w:cs="宋体"/>
          <w:color w:val="000000" w:themeColor="text1"/>
          <w:sz w:val="32"/>
          <w:szCs w:val="32"/>
          <w:lang w:val="en-US" w:eastAsia="zh-CN"/>
          <w14:textFill>
            <w14:solidFill>
              <w14:schemeClr w14:val="tx1"/>
            </w14:solidFill>
          </w14:textFill>
        </w:rPr>
        <w:t>项目由高平市铁炉贡梨种植专业合作社、山西高平神农炎帝农耕文化园开发有限公司等主体实施，通过企业自筹方式，</w:t>
      </w:r>
      <w:r>
        <w:rPr>
          <w:rFonts w:hint="eastAsia" w:ascii="仿宋_GB2312" w:hAnsi="宋体" w:eastAsia="仿宋_GB2312" w:cs="宋体"/>
          <w:color w:val="000000" w:themeColor="text1"/>
          <w:sz w:val="32"/>
          <w:szCs w:val="32"/>
          <w:lang w:eastAsia="zh-CN"/>
          <w14:textFill>
            <w14:solidFill>
              <w14:schemeClr w14:val="tx1"/>
            </w14:solidFill>
          </w14:textFill>
        </w:rPr>
        <w:t>在基础设施硬件建设上，在梨园</w:t>
      </w:r>
      <w:r>
        <w:rPr>
          <w:rFonts w:hint="eastAsia" w:ascii="仿宋_GB2312" w:hAnsi="宋体" w:eastAsia="仿宋_GB2312" w:cs="宋体"/>
          <w:color w:val="000000" w:themeColor="text1"/>
          <w:sz w:val="32"/>
          <w:szCs w:val="32"/>
          <w14:textFill>
            <w14:solidFill>
              <w14:schemeClr w14:val="tx1"/>
            </w14:solidFill>
          </w14:textFill>
        </w:rPr>
        <w:t>实施</w:t>
      </w:r>
      <w:r>
        <w:rPr>
          <w:rFonts w:hint="eastAsia" w:ascii="仿宋_GB2312" w:hAnsi="宋体" w:eastAsia="仿宋_GB2312" w:cs="宋体"/>
          <w:color w:val="000000" w:themeColor="text1"/>
          <w:sz w:val="32"/>
          <w:szCs w:val="32"/>
          <w:lang w:val="en-US" w:eastAsia="zh-CN"/>
          <w14:textFill>
            <w14:solidFill>
              <w14:schemeClr w14:val="tx1"/>
            </w14:solidFill>
          </w14:textFill>
        </w:rPr>
        <w:t>土肥水</w:t>
      </w:r>
      <w:r>
        <w:rPr>
          <w:rFonts w:hint="eastAsia" w:ascii="仿宋_GB2312" w:hAnsi="宋体" w:eastAsia="仿宋_GB2312" w:cs="宋体"/>
          <w:color w:val="000000" w:themeColor="text1"/>
          <w:sz w:val="32"/>
          <w:szCs w:val="32"/>
          <w:lang w:eastAsia="zh-CN"/>
          <w14:textFill>
            <w14:solidFill>
              <w14:schemeClr w14:val="tx1"/>
            </w14:solidFill>
          </w14:textFill>
        </w:rPr>
        <w:t>管理</w:t>
      </w:r>
      <w:r>
        <w:rPr>
          <w:rFonts w:hint="eastAsia" w:ascii="仿宋_GB2312" w:hAnsi="宋体" w:eastAsia="仿宋_GB2312" w:cs="宋体"/>
          <w:color w:val="000000" w:themeColor="text1"/>
          <w:sz w:val="32"/>
          <w:szCs w:val="32"/>
          <w14:textFill>
            <w14:solidFill>
              <w14:schemeClr w14:val="tx1"/>
            </w14:solidFill>
          </w14:textFill>
        </w:rPr>
        <w:t>、病虫害</w:t>
      </w:r>
      <w:r>
        <w:rPr>
          <w:rFonts w:hint="eastAsia" w:ascii="仿宋_GB2312" w:hAnsi="宋体" w:eastAsia="仿宋_GB2312" w:cs="宋体"/>
          <w:color w:val="000000" w:themeColor="text1"/>
          <w:sz w:val="32"/>
          <w:szCs w:val="32"/>
          <w:lang w:eastAsia="zh-CN"/>
          <w14:textFill>
            <w14:solidFill>
              <w14:schemeClr w14:val="tx1"/>
            </w14:solidFill>
          </w14:textFill>
        </w:rPr>
        <w:t>综合</w:t>
      </w:r>
      <w:r>
        <w:rPr>
          <w:rFonts w:hint="eastAsia" w:ascii="仿宋_GB2312" w:hAnsi="宋体" w:eastAsia="仿宋_GB2312" w:cs="宋体"/>
          <w:color w:val="000000" w:themeColor="text1"/>
          <w:sz w:val="32"/>
          <w:szCs w:val="32"/>
          <w14:textFill>
            <w14:solidFill>
              <w14:schemeClr w14:val="tx1"/>
            </w14:solidFill>
          </w14:textFill>
        </w:rPr>
        <w:t>防控、树形</w:t>
      </w:r>
      <w:r>
        <w:rPr>
          <w:rFonts w:hint="eastAsia" w:ascii="仿宋_GB2312" w:hAnsi="宋体" w:eastAsia="仿宋_GB2312" w:cs="宋体"/>
          <w:color w:val="000000" w:themeColor="text1"/>
          <w:sz w:val="32"/>
          <w:szCs w:val="32"/>
          <w:lang w:eastAsia="zh-CN"/>
          <w14:textFill>
            <w14:solidFill>
              <w14:schemeClr w14:val="tx1"/>
            </w14:solidFill>
          </w14:textFill>
        </w:rPr>
        <w:t>总体塑</w:t>
      </w:r>
      <w:r>
        <w:rPr>
          <w:rFonts w:hint="eastAsia" w:ascii="仿宋_GB2312" w:hAnsi="宋体" w:eastAsia="仿宋_GB2312" w:cs="宋体"/>
          <w:color w:val="000000" w:themeColor="text1"/>
          <w:sz w:val="32"/>
          <w:szCs w:val="32"/>
          <w14:textFill>
            <w14:solidFill>
              <w14:schemeClr w14:val="tx1"/>
            </w14:solidFill>
          </w14:textFill>
        </w:rPr>
        <w:t>造和花果</w:t>
      </w:r>
      <w:r>
        <w:rPr>
          <w:rFonts w:hint="eastAsia" w:ascii="仿宋_GB2312" w:hAnsi="宋体" w:eastAsia="仿宋_GB2312" w:cs="宋体"/>
          <w:color w:val="000000" w:themeColor="text1"/>
          <w:sz w:val="32"/>
          <w:szCs w:val="32"/>
          <w:lang w:eastAsia="zh-CN"/>
          <w14:textFill>
            <w14:solidFill>
              <w14:schemeClr w14:val="tx1"/>
            </w14:solidFill>
          </w14:textFill>
        </w:rPr>
        <w:t>培育方面实行</w:t>
      </w:r>
      <w:r>
        <w:rPr>
          <w:rFonts w:hint="eastAsia" w:ascii="仿宋_GB2312" w:hAnsi="宋体" w:eastAsia="仿宋_GB2312" w:cs="宋体"/>
          <w:color w:val="000000" w:themeColor="text1"/>
          <w:sz w:val="32"/>
          <w:szCs w:val="32"/>
          <w14:textFill>
            <w14:solidFill>
              <w14:schemeClr w14:val="tx1"/>
            </w14:solidFill>
          </w14:textFill>
        </w:rPr>
        <w:t>精细</w:t>
      </w:r>
      <w:r>
        <w:rPr>
          <w:rFonts w:hint="eastAsia" w:ascii="仿宋_GB2312" w:hAnsi="宋体" w:eastAsia="仿宋_GB2312" w:cs="宋体"/>
          <w:color w:val="000000" w:themeColor="text1"/>
          <w:sz w:val="32"/>
          <w:szCs w:val="32"/>
          <w:lang w:eastAsia="zh-CN"/>
          <w14:textFill>
            <w14:solidFill>
              <w14:schemeClr w14:val="tx1"/>
            </w14:solidFill>
          </w14:textFill>
        </w:rPr>
        <w:t>化</w:t>
      </w:r>
      <w:r>
        <w:rPr>
          <w:rFonts w:hint="eastAsia" w:ascii="仿宋_GB2312" w:hAnsi="宋体" w:eastAsia="仿宋_GB2312" w:cs="宋体"/>
          <w:color w:val="000000" w:themeColor="text1"/>
          <w:sz w:val="32"/>
          <w:szCs w:val="32"/>
          <w14:textFill>
            <w14:solidFill>
              <w14:schemeClr w14:val="tx1"/>
            </w14:solidFill>
          </w14:textFill>
        </w:rPr>
        <w:t>管理。</w:t>
      </w:r>
      <w:r>
        <w:rPr>
          <w:rFonts w:hint="eastAsia" w:ascii="仿宋_GB2312" w:hAnsi="宋体" w:eastAsia="仿宋_GB2312" w:cs="宋体"/>
          <w:color w:val="000000" w:themeColor="text1"/>
          <w:sz w:val="32"/>
          <w:szCs w:val="32"/>
          <w:lang w:val="en-US" w:eastAsia="zh-CN"/>
          <w14:textFill>
            <w14:solidFill>
              <w14:schemeClr w14:val="tx1"/>
            </w14:solidFill>
          </w14:textFill>
        </w:rPr>
        <w:t>项目实施期限为2026-2028年，总投资约50万元，建成5个标准化黄梨标准化生产园。</w:t>
      </w:r>
      <w:bookmarkStart w:id="21" w:name="_Toc5353"/>
    </w:p>
    <w:p w14:paraId="751413E7">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b/>
          <w:bCs/>
          <w:sz w:val="32"/>
          <w:szCs w:val="32"/>
          <w:lang w:val="en-US" w:eastAsia="zh-CN"/>
        </w:rPr>
        <w:t>（五）黄梨健康饮品深加工</w:t>
      </w:r>
      <w:bookmarkEnd w:id="21"/>
      <w:r>
        <w:rPr>
          <w:rFonts w:hint="eastAsia" w:ascii="楷体" w:hAnsi="楷体" w:eastAsia="楷体" w:cs="楷体"/>
          <w:b/>
          <w:bCs/>
          <w:sz w:val="32"/>
          <w:szCs w:val="32"/>
          <w:lang w:val="en-US" w:eastAsia="zh-CN"/>
        </w:rPr>
        <w:t>项目</w:t>
      </w:r>
    </w:p>
    <w:p w14:paraId="150E35EB">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宋体" w:eastAsia="仿宋_GB2312" w:cs="宋体"/>
          <w:color w:val="000000" w:themeColor="text1"/>
          <w:sz w:val="32"/>
          <w:szCs w:val="32"/>
          <w:lang w:val="en-US" w:eastAsia="zh-CN"/>
          <w14:textFill>
            <w14:solidFill>
              <w14:schemeClr w14:val="tx1"/>
            </w14:solidFill>
          </w14:textFill>
        </w:rPr>
      </w:pPr>
      <w:r>
        <w:rPr>
          <w:rFonts w:hint="eastAsia" w:ascii="仿宋_GB2312" w:hAnsi="宋体" w:eastAsia="仿宋_GB2312" w:cs="宋体"/>
          <w:color w:val="000000" w:themeColor="text1"/>
          <w:sz w:val="32"/>
          <w:szCs w:val="32"/>
          <w:lang w:val="en-US" w:eastAsia="zh-CN"/>
          <w14:textFill>
            <w14:solidFill>
              <w14:schemeClr w14:val="tx1"/>
            </w14:solidFill>
          </w14:textFill>
        </w:rPr>
        <w:t>项目由高平饴润健康饮品产业发展有限公司实施，实施期限为</w:t>
      </w:r>
      <w:r>
        <w:rPr>
          <w:rFonts w:hint="eastAsia" w:ascii="仿宋_GB2312" w:hAnsi="仿宋_GB2312" w:eastAsia="仿宋_GB2312" w:cs="仿宋_GB2312"/>
          <w:color w:val="auto"/>
          <w:kern w:val="0"/>
          <w:sz w:val="32"/>
          <w:szCs w:val="32"/>
          <w:lang w:val="en-US" w:eastAsia="zh-CN" w:bidi="ar"/>
        </w:rPr>
        <w:t>2026-2028年</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lang w:val="en-US" w:eastAsia="zh-CN"/>
          <w14:textFill>
            <w14:solidFill>
              <w14:schemeClr w14:val="tx1"/>
            </w14:solidFill>
          </w14:textFill>
        </w:rPr>
        <w:t>到2027 年加工生产线正式投产，推出黄梨浓缩汁、NFC冷冻液、梨膏、黄梨饮品、IP黄梨水等新型黄梨深加工产品，2028年稳定产品市场。项目总投资</w:t>
      </w:r>
      <w:r>
        <w:rPr>
          <w:rFonts w:hint="eastAsia" w:ascii="仿宋_GB2312" w:hAnsi="宋体" w:eastAsia="仿宋_GB2312" w:cs="宋体"/>
          <w:color w:val="000000" w:themeColor="text1"/>
          <w:sz w:val="32"/>
          <w:szCs w:val="32"/>
          <w:highlight w:val="none"/>
          <w:lang w:val="en-US" w:eastAsia="zh-CN"/>
          <w14:textFill>
            <w14:solidFill>
              <w14:schemeClr w14:val="tx1"/>
            </w14:solidFill>
          </w14:textFill>
        </w:rPr>
        <w:t>200万</w:t>
      </w:r>
      <w:r>
        <w:rPr>
          <w:rFonts w:hint="eastAsia" w:ascii="仿宋_GB2312" w:hAnsi="宋体" w:eastAsia="仿宋_GB2312" w:cs="宋体"/>
          <w:color w:val="000000" w:themeColor="text1"/>
          <w:sz w:val="32"/>
          <w:szCs w:val="32"/>
          <w:lang w:val="en-US" w:eastAsia="zh-CN"/>
          <w14:textFill>
            <w14:solidFill>
              <w14:schemeClr w14:val="tx1"/>
            </w14:solidFill>
          </w14:textFill>
        </w:rPr>
        <w:t>元，资金来源为企业自筹。</w:t>
      </w:r>
      <w:bookmarkStart w:id="22" w:name="_Toc6827"/>
    </w:p>
    <w:p w14:paraId="4348B635">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（六）“高平黄梨”区域品牌建设</w:t>
      </w:r>
      <w:bookmarkEnd w:id="22"/>
    </w:p>
    <w:p w14:paraId="341ECE38">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宋体" w:eastAsia="仿宋_GB2312" w:cs="宋体"/>
          <w:color w:val="000000" w:themeColor="text1"/>
          <w:sz w:val="32"/>
          <w:szCs w:val="32"/>
          <w:lang w:val="en-US" w:eastAsia="zh-CN"/>
          <w14:textFill>
            <w14:solidFill>
              <w14:schemeClr w14:val="tx1"/>
            </w14:solidFill>
          </w14:textFill>
        </w:rPr>
      </w:pPr>
      <w:r>
        <w:rPr>
          <w:rFonts w:hint="eastAsia" w:ascii="仿宋_GB2312" w:hAnsi="宋体" w:eastAsia="仿宋_GB2312" w:cs="宋体"/>
          <w:color w:val="000000" w:themeColor="text1"/>
          <w:sz w:val="32"/>
          <w:szCs w:val="32"/>
          <w:lang w:val="en-US" w:eastAsia="zh-CN"/>
          <w14:textFill>
            <w14:solidFill>
              <w14:schemeClr w14:val="tx1"/>
            </w14:solidFill>
          </w14:textFill>
        </w:rPr>
        <w:t>项目由</w:t>
      </w:r>
      <w:r>
        <w:rPr>
          <w:rFonts w:hint="eastAsia" w:ascii="仿宋_GB2312" w:hAnsi="宋体" w:eastAsia="仿宋_GB2312" w:cs="宋体"/>
          <w:color w:val="000000" w:themeColor="text1"/>
          <w:sz w:val="32"/>
          <w:szCs w:val="32"/>
          <w14:textFill>
            <w14:solidFill>
              <w14:schemeClr w14:val="tx1"/>
            </w14:solidFill>
          </w14:textFill>
        </w:rPr>
        <w:t>高平市农业农村局</w:t>
      </w:r>
      <w:r>
        <w:rPr>
          <w:rFonts w:hint="eastAsia" w:ascii="仿宋_GB2312" w:hAnsi="宋体" w:eastAsia="仿宋_GB2312" w:cs="宋体"/>
          <w:color w:val="000000" w:themeColor="text1"/>
          <w:sz w:val="32"/>
          <w:szCs w:val="32"/>
          <w:lang w:val="en-US" w:eastAsia="zh-CN"/>
          <w14:textFill>
            <w14:solidFill>
              <w14:schemeClr w14:val="tx1"/>
            </w14:solidFill>
          </w14:textFill>
        </w:rPr>
        <w:t>牵头，</w:t>
      </w:r>
      <w:r>
        <w:rPr>
          <w:rFonts w:hint="eastAsia" w:ascii="仿宋_GB2312" w:hAnsi="宋体" w:eastAsia="仿宋_GB2312" w:cs="宋体"/>
          <w:color w:val="000000" w:themeColor="text1"/>
          <w:sz w:val="32"/>
          <w:szCs w:val="32"/>
          <w:lang w:val="zh-CN"/>
          <w14:textFill>
            <w14:solidFill>
              <w14:schemeClr w14:val="tx1"/>
            </w14:solidFill>
          </w14:textFill>
        </w:rPr>
        <w:t>高平市五谷丰农业农村投资集团有限公司</w:t>
      </w:r>
      <w:r>
        <w:rPr>
          <w:rFonts w:hint="eastAsia" w:ascii="仿宋_GB2312" w:hAnsi="宋体" w:eastAsia="仿宋_GB2312" w:cs="宋体"/>
          <w:color w:val="000000" w:themeColor="text1"/>
          <w:sz w:val="32"/>
          <w:szCs w:val="32"/>
          <w14:textFill>
            <w14:solidFill>
              <w14:schemeClr w14:val="tx1"/>
            </w14:solidFill>
          </w14:textFill>
        </w:rPr>
        <w:t>等</w:t>
      </w:r>
      <w:r>
        <w:rPr>
          <w:rFonts w:hint="eastAsia" w:ascii="仿宋_GB2312" w:hAnsi="宋体" w:eastAsia="仿宋_GB2312" w:cs="宋体"/>
          <w:color w:val="000000" w:themeColor="text1"/>
          <w:sz w:val="32"/>
          <w:szCs w:val="32"/>
          <w:lang w:eastAsia="zh-CN"/>
          <w14:textFill>
            <w14:solidFill>
              <w14:schemeClr w14:val="tx1"/>
            </w14:solidFill>
          </w14:textFill>
        </w:rPr>
        <w:t>黄梨种植、加工、销售主体</w:t>
      </w:r>
      <w:r>
        <w:rPr>
          <w:rFonts w:hint="eastAsia" w:ascii="仿宋_GB2312" w:hAnsi="宋体" w:eastAsia="仿宋_GB2312" w:cs="宋体"/>
          <w:color w:val="000000" w:themeColor="text1"/>
          <w:sz w:val="32"/>
          <w:szCs w:val="32"/>
          <w:lang w:val="en-US" w:eastAsia="zh-CN"/>
          <w14:textFill>
            <w14:solidFill>
              <w14:schemeClr w14:val="tx1"/>
            </w14:solidFill>
          </w14:textFill>
        </w:rPr>
        <w:t>参与。项目总投资30万，财政投入和企业自筹相结合，实施期限为</w:t>
      </w:r>
      <w:r>
        <w:rPr>
          <w:rFonts w:hint="eastAsia" w:ascii="仿宋_GB2312" w:hAnsi="仿宋_GB2312" w:eastAsia="仿宋_GB2312" w:cs="仿宋_GB2312"/>
          <w:color w:val="auto"/>
          <w:kern w:val="0"/>
          <w:sz w:val="32"/>
          <w:szCs w:val="32"/>
          <w:lang w:val="en-US" w:eastAsia="zh-CN" w:bidi="ar"/>
        </w:rPr>
        <w:t>2026-2028年</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加强与品牌建设和运营公司合作，进行形象设计、广告语创作及包装设计等，同时建立技术规范标准，实现质量体系认证，通过举办梨花节、采摘节和丰收节等途</w:t>
      </w:r>
      <w:r>
        <w:rPr>
          <w:rFonts w:hint="eastAsia" w:ascii="仿宋_GB2312" w:hAnsi="宋体" w:eastAsia="仿宋_GB2312" w:cs="宋体"/>
          <w:color w:val="000000" w:themeColor="text1"/>
          <w:sz w:val="32"/>
          <w:szCs w:val="32"/>
          <w:lang w:val="en-US" w:eastAsia="zh-CN"/>
          <w14:textFill>
            <w14:solidFill>
              <w14:schemeClr w14:val="tx1"/>
            </w14:solidFill>
          </w14:textFill>
        </w:rPr>
        <w:t>径进行宣传推介。</w:t>
      </w:r>
      <w:bookmarkStart w:id="23" w:name="_Toc22499"/>
    </w:p>
    <w:p w14:paraId="2D599690">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b/>
          <w:bCs/>
          <w:sz w:val="32"/>
          <w:szCs w:val="32"/>
          <w:lang w:val="en-US" w:eastAsia="zh-CN"/>
        </w:rPr>
        <w:t>（七）果农技术培训工程</w:t>
      </w:r>
      <w:bookmarkEnd w:id="23"/>
    </w:p>
    <w:p w14:paraId="3D25A7BA">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eastAsia" w:ascii="仿宋_GB2312" w:hAnsi="宋体" w:eastAsia="仿宋_GB2312" w:cs="宋体"/>
          <w:color w:val="000000" w:themeColor="text1"/>
          <w:sz w:val="32"/>
          <w:szCs w:val="32"/>
          <w:lang w:eastAsia="zh-CN"/>
          <w14:textFill>
            <w14:solidFill>
              <w14:schemeClr w14:val="tx1"/>
            </w14:solidFill>
          </w14:textFill>
        </w:rPr>
      </w:pPr>
      <w:r>
        <w:rPr>
          <w:rFonts w:hint="eastAsia" w:ascii="仿宋_GB2312" w:hAnsi="宋体" w:eastAsia="仿宋_GB2312" w:cs="宋体"/>
          <w:color w:val="000000" w:themeColor="text1"/>
          <w:sz w:val="32"/>
          <w:szCs w:val="32"/>
          <w:lang w:val="en-US" w:eastAsia="zh-CN"/>
          <w14:textFill>
            <w14:solidFill>
              <w14:schemeClr w14:val="tx1"/>
            </w14:solidFill>
          </w14:textFill>
        </w:rPr>
        <w:t>项目由</w:t>
      </w:r>
      <w:r>
        <w:rPr>
          <w:rFonts w:hint="eastAsia" w:ascii="仿宋_GB2312" w:hAnsi="宋体" w:eastAsia="仿宋_GB2312" w:cs="宋体"/>
          <w:color w:val="000000" w:themeColor="text1"/>
          <w:sz w:val="32"/>
          <w:szCs w:val="32"/>
          <w14:textFill>
            <w14:solidFill>
              <w14:schemeClr w14:val="tx1"/>
            </w14:solidFill>
          </w14:textFill>
        </w:rPr>
        <w:t>高平市农业农村局</w:t>
      </w:r>
      <w:r>
        <w:rPr>
          <w:rFonts w:hint="eastAsia" w:ascii="仿宋_GB2312" w:hAnsi="宋体" w:eastAsia="仿宋_GB2312" w:cs="宋体"/>
          <w:color w:val="000000" w:themeColor="text1"/>
          <w:sz w:val="32"/>
          <w:szCs w:val="32"/>
          <w:lang w:val="en-US" w:eastAsia="zh-CN"/>
          <w14:textFill>
            <w14:solidFill>
              <w14:schemeClr w14:val="tx1"/>
            </w14:solidFill>
          </w14:textFill>
        </w:rPr>
        <w:t>牵头，高平市仁益农业技术服务有限公司</w:t>
      </w:r>
      <w:r>
        <w:rPr>
          <w:rFonts w:hint="eastAsia" w:ascii="仿宋_GB2312" w:hAnsi="宋体" w:eastAsia="仿宋_GB2312" w:cs="宋体"/>
          <w:color w:val="000000" w:themeColor="text1"/>
          <w:sz w:val="32"/>
          <w:szCs w:val="32"/>
          <w14:textFill>
            <w14:solidFill>
              <w14:schemeClr w14:val="tx1"/>
            </w14:solidFill>
          </w14:textFill>
        </w:rPr>
        <w:t>、高平市黄梨协会等</w:t>
      </w:r>
      <w:r>
        <w:rPr>
          <w:rFonts w:hint="eastAsia" w:ascii="仿宋_GB2312" w:hAnsi="宋体" w:eastAsia="仿宋_GB2312" w:cs="宋体"/>
          <w:color w:val="000000" w:themeColor="text1"/>
          <w:sz w:val="32"/>
          <w:szCs w:val="32"/>
          <w:lang w:val="en-US" w:eastAsia="zh-CN"/>
          <w14:textFill>
            <w14:solidFill>
              <w14:schemeClr w14:val="tx1"/>
            </w14:solidFill>
          </w14:textFill>
        </w:rPr>
        <w:t>培训主体参与。财政资金20万，实施期限为</w:t>
      </w:r>
      <w:r>
        <w:rPr>
          <w:rFonts w:hint="eastAsia" w:ascii="仿宋_GB2312" w:hAnsi="宋体" w:eastAsia="仿宋_GB2312" w:cs="宋体"/>
          <w:color w:val="000000" w:themeColor="text1"/>
          <w:sz w:val="32"/>
          <w:szCs w:val="32"/>
          <w14:textFill>
            <w14:solidFill>
              <w14:schemeClr w14:val="tx1"/>
            </w14:solidFill>
          </w14:textFill>
        </w:rPr>
        <w:t>202</w:t>
      </w:r>
      <w:r>
        <w:rPr>
          <w:rFonts w:hint="eastAsia" w:ascii="仿宋_GB2312" w:hAnsi="宋体" w:eastAsia="仿宋_GB2312" w:cs="宋体"/>
          <w:color w:val="000000" w:themeColor="text1"/>
          <w:sz w:val="32"/>
          <w:szCs w:val="32"/>
          <w:lang w:val="en-US" w:eastAsia="zh-CN"/>
          <w14:textFill>
            <w14:solidFill>
              <w14:schemeClr w14:val="tx1"/>
            </w14:solidFill>
          </w14:textFill>
        </w:rPr>
        <w:t>6</w:t>
      </w:r>
      <w:r>
        <w:rPr>
          <w:rFonts w:hint="eastAsia" w:ascii="仿宋_GB2312" w:hAnsi="宋体" w:eastAsia="仿宋_GB2312" w:cs="宋体"/>
          <w:color w:val="000000" w:themeColor="text1"/>
          <w:sz w:val="32"/>
          <w:szCs w:val="32"/>
          <w14:textFill>
            <w14:solidFill>
              <w14:schemeClr w14:val="tx1"/>
            </w14:solidFill>
          </w14:textFill>
        </w:rPr>
        <w:t>年</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20</w:t>
      </w:r>
      <w:r>
        <w:rPr>
          <w:rFonts w:hint="eastAsia" w:ascii="仿宋_GB2312" w:hAnsi="宋体" w:eastAsia="仿宋_GB2312" w:cs="宋体"/>
          <w:color w:val="000000" w:themeColor="text1"/>
          <w:sz w:val="32"/>
          <w:szCs w:val="32"/>
          <w:lang w:val="en-US" w:eastAsia="zh-CN"/>
          <w14:textFill>
            <w14:solidFill>
              <w14:schemeClr w14:val="tx1"/>
            </w14:solidFill>
          </w14:textFill>
        </w:rPr>
        <w:t>28</w:t>
      </w:r>
      <w:r>
        <w:rPr>
          <w:rFonts w:hint="eastAsia" w:ascii="仿宋_GB2312" w:hAnsi="宋体" w:eastAsia="仿宋_GB2312" w:cs="宋体"/>
          <w:color w:val="000000" w:themeColor="text1"/>
          <w:sz w:val="32"/>
          <w:szCs w:val="32"/>
          <w14:textFill>
            <w14:solidFill>
              <w14:schemeClr w14:val="tx1"/>
            </w14:solidFill>
          </w14:textFill>
        </w:rPr>
        <w:t>年，每年培训果农</w:t>
      </w:r>
      <w:r>
        <w:rPr>
          <w:rFonts w:hint="eastAsia" w:ascii="仿宋_GB2312" w:hAnsi="宋体" w:eastAsia="仿宋_GB2312" w:cs="宋体"/>
          <w:color w:val="000000" w:themeColor="text1"/>
          <w:sz w:val="32"/>
          <w:szCs w:val="32"/>
          <w:lang w:val="en-US" w:eastAsia="zh-CN"/>
          <w14:textFill>
            <w14:solidFill>
              <w14:schemeClr w14:val="tx1"/>
            </w14:solidFill>
          </w14:textFill>
        </w:rPr>
        <w:t>50</w:t>
      </w:r>
      <w:r>
        <w:rPr>
          <w:rFonts w:hint="eastAsia" w:ascii="仿宋_GB2312" w:hAnsi="宋体" w:eastAsia="仿宋_GB2312" w:cs="宋体"/>
          <w:color w:val="000000" w:themeColor="text1"/>
          <w:sz w:val="32"/>
          <w:szCs w:val="32"/>
          <w14:textFill>
            <w14:solidFill>
              <w14:schemeClr w14:val="tx1"/>
            </w14:solidFill>
          </w14:textFill>
        </w:rPr>
        <w:t>人次</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依托黄梨产业发展研究院以及中国农科院果树研究所的技术优势，结合高素质农民培训，对现有专业技术人才、农民技术人员进行系统培训</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培养一批懂</w:t>
      </w:r>
      <w:r>
        <w:rPr>
          <w:rFonts w:hint="eastAsia" w:ascii="仿宋_GB2312" w:hAnsi="宋体" w:eastAsia="仿宋_GB2312" w:cs="宋体"/>
          <w:color w:val="000000" w:themeColor="text1"/>
          <w:sz w:val="32"/>
          <w:szCs w:val="32"/>
          <w:lang w:eastAsia="zh-CN"/>
          <w14:textFill>
            <w14:solidFill>
              <w14:schemeClr w14:val="tx1"/>
            </w14:solidFill>
          </w14:textFill>
        </w:rPr>
        <w:t>梨树</w:t>
      </w:r>
      <w:r>
        <w:rPr>
          <w:rFonts w:hint="eastAsia" w:ascii="仿宋_GB2312" w:hAnsi="宋体" w:eastAsia="仿宋_GB2312" w:cs="宋体"/>
          <w:color w:val="000000" w:themeColor="text1"/>
          <w:sz w:val="32"/>
          <w:szCs w:val="32"/>
          <w14:textFill>
            <w14:solidFill>
              <w14:schemeClr w14:val="tx1"/>
            </w14:solidFill>
          </w14:textFill>
        </w:rPr>
        <w:t>、爱黄梨的技术骨干</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掌握优质精品梨果生产最新技术和管理经验</w:t>
      </w:r>
      <w:r>
        <w:rPr>
          <w:rFonts w:hint="eastAsia" w:ascii="仿宋_GB2312" w:hAnsi="宋体" w:eastAsia="仿宋_GB2312" w:cs="宋体"/>
          <w:color w:val="000000" w:themeColor="text1"/>
          <w:sz w:val="32"/>
          <w:szCs w:val="32"/>
          <w:lang w:eastAsia="zh-CN"/>
          <w14:textFill>
            <w14:solidFill>
              <w14:schemeClr w14:val="tx1"/>
            </w14:solidFill>
          </w14:textFill>
        </w:rPr>
        <w:t>，深度参与我市黄梨种植生产。</w:t>
      </w:r>
      <w:bookmarkStart w:id="24" w:name="_Toc2741"/>
    </w:p>
    <w:p w14:paraId="719B28A0">
      <w:pPr>
        <w:keepNext w:val="0"/>
        <w:keepLines w:val="0"/>
        <w:pageBreakBefore w:val="0"/>
        <w:widowControl w:val="0"/>
        <w:numPr>
          <w:ilvl w:val="0"/>
          <w:numId w:val="3"/>
        </w:numPr>
        <w:pBdr>
          <w:bottom w:val="single" w:color="FFFFFF" w:sz="4" w:space="31"/>
        </w:pBdr>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政策支持措施</w:t>
      </w:r>
      <w:bookmarkEnd w:id="24"/>
      <w:r>
        <w:rPr>
          <w:rFonts w:hint="eastAsia" w:ascii="黑体" w:hAnsi="黑体" w:eastAsia="黑体" w:cs="黑体"/>
          <w:b w:val="0"/>
          <w:bCs/>
          <w:sz w:val="32"/>
          <w:szCs w:val="32"/>
          <w:lang w:val="en-US" w:eastAsia="zh-CN"/>
        </w:rPr>
        <w:t xml:space="preserve"> </w:t>
      </w:r>
      <w:bookmarkStart w:id="25" w:name="_Toc28929"/>
    </w:p>
    <w:p w14:paraId="51CDB447">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2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（一）出台包括支持黄梨产业做大做强的高平市现代农业产业高质量发展三年扶持办法</w:t>
      </w:r>
      <w:bookmarkEnd w:id="25"/>
    </w:p>
    <w:p w14:paraId="5C5DBC8E">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通过深入调研，了解我市农业发展的短板和弱项，重点摸清我市黄梨种、加、销产业链薄弱环节，弄清做优做强产业链需要扶持的重点，明确扶持政策的切入点，形成农业产业发展调研分析报告，特别说明黄梨产业发展对我市农业种植业整体发展、农产品加工、联农带农增收的意义，梨文化在当地的影响以及当地群众的梨文化情结。提出梨产业发展的总体扶持金额，细化种、加、销、保、文等各环节具体扶持金额，确定扶持发展的时效和绩效等具体指标，为市政府出台扶持办法提供政策依据。</w:t>
      </w:r>
      <w:bookmarkStart w:id="26" w:name="_Toc18245"/>
    </w:p>
    <w:p w14:paraId="16D2F857">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20" w:lineRule="exact"/>
        <w:ind w:firstLine="643"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b/>
          <w:bCs/>
          <w:sz w:val="32"/>
          <w:szCs w:val="32"/>
          <w:lang w:val="en-US" w:eastAsia="zh-CN"/>
        </w:rPr>
        <w:t>（二）完善黄梨栽培系统非遗文化传承管理制度</w:t>
      </w:r>
      <w:bookmarkEnd w:id="26"/>
    </w:p>
    <w:p w14:paraId="477D22CC">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立足黄梨种植和文化风俗传承现状，坚持种植栽培与文化风俗相辅相成、互促共进，依托高平大黄梨产业协会，吸纳黄梨文化传承人，完善健全管理制度，增强内生动力，形成发展合力。</w:t>
      </w:r>
      <w:bookmarkStart w:id="27" w:name="_Toc22704"/>
    </w:p>
    <w:p w14:paraId="3F390B58">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20" w:lineRule="exact"/>
        <w:ind w:firstLine="643"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b/>
          <w:bCs/>
          <w:sz w:val="32"/>
          <w:szCs w:val="32"/>
          <w:lang w:val="en-US" w:eastAsia="zh-CN"/>
        </w:rPr>
        <w:t>（三）建立黄梨传统耕作技艺与文化传承工作机制</w:t>
      </w:r>
      <w:bookmarkEnd w:id="27"/>
    </w:p>
    <w:p w14:paraId="16656473">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建立市乡村三级协同共推黄梨产业发展与文化传承工作机制，建立“政府+市场主体”、“政府+协会”、“传承人+主市场体+农户”等机制，打通黄梨种植-收储-加工-市场、种植文化-饮食文化-习俗文化-传承文化通道。</w:t>
      </w:r>
      <w:bookmarkStart w:id="28" w:name="_Toc6330"/>
    </w:p>
    <w:p w14:paraId="26BB08AA">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eastAsia"/>
          <w:lang w:val="en-US" w:eastAsia="zh-CN"/>
        </w:rPr>
      </w:pPr>
      <w:r>
        <w:rPr>
          <w:rFonts w:hint="eastAsia" w:ascii="黑体" w:hAnsi="黑体" w:eastAsia="黑体" w:cs="黑体"/>
          <w:sz w:val="32"/>
          <w:szCs w:val="32"/>
          <w:lang w:val="en-US" w:eastAsia="zh-CN"/>
        </w:rPr>
        <w:t>四、相关附件</w:t>
      </w:r>
      <w:bookmarkEnd w:id="28"/>
      <w:r>
        <w:rPr>
          <w:rFonts w:hint="eastAsia"/>
          <w:lang w:val="en-US" w:eastAsia="zh-CN"/>
        </w:rPr>
        <w:t xml:space="preserve"> </w:t>
      </w:r>
    </w:p>
    <w:p w14:paraId="7B83BE87">
      <w:pPr>
        <w:pStyle w:val="3"/>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楷体" w:hAnsi="楷体" w:eastAsia="楷体" w:cs="楷体"/>
          <w:sz w:val="32"/>
          <w:szCs w:val="32"/>
          <w:lang w:val="en-US" w:eastAsia="zh-CN"/>
        </w:rPr>
      </w:pPr>
      <w:bookmarkStart w:id="29" w:name="_Toc10479"/>
      <w:r>
        <w:rPr>
          <w:rFonts w:hint="eastAsia" w:ascii="楷体" w:hAnsi="楷体" w:eastAsia="楷体" w:cs="楷体"/>
          <w:sz w:val="32"/>
          <w:szCs w:val="32"/>
          <w:lang w:val="en-US" w:eastAsia="zh-CN"/>
        </w:rPr>
        <w:t>（一）核心保护区域基本情况表</w:t>
      </w:r>
      <w:bookmarkEnd w:id="29"/>
      <w:r>
        <w:rPr>
          <w:rFonts w:hint="eastAsia" w:ascii="楷体" w:hAnsi="楷体" w:eastAsia="楷体" w:cs="楷体"/>
          <w:sz w:val="32"/>
          <w:szCs w:val="32"/>
          <w:lang w:val="en-US" w:eastAsia="zh-CN"/>
        </w:rPr>
        <w:t xml:space="preserve"> </w:t>
      </w:r>
    </w:p>
    <w:tbl>
      <w:tblPr>
        <w:tblStyle w:val="18"/>
        <w:tblW w:w="10920" w:type="dxa"/>
        <w:tblInd w:w="-1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050"/>
        <w:gridCol w:w="1785"/>
        <w:gridCol w:w="1020"/>
        <w:gridCol w:w="1035"/>
        <w:gridCol w:w="2235"/>
        <w:gridCol w:w="1605"/>
        <w:gridCol w:w="1605"/>
      </w:tblGrid>
      <w:tr w14:paraId="54A8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6E3E1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lang w:bidi="ar"/>
              </w:rPr>
              <w:t>乡镇</w:t>
            </w:r>
          </w:p>
        </w:tc>
        <w:tc>
          <w:tcPr>
            <w:tcW w:w="1050" w:type="dxa"/>
            <w:vAlign w:val="center"/>
          </w:tcPr>
          <w:p w14:paraId="3B22E6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lang w:bidi="ar"/>
              </w:rPr>
              <w:t>核心保护区</w:t>
            </w:r>
          </w:p>
        </w:tc>
        <w:tc>
          <w:tcPr>
            <w:tcW w:w="1785" w:type="dxa"/>
            <w:vAlign w:val="center"/>
          </w:tcPr>
          <w:p w14:paraId="051922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highlight w:val="none"/>
                <w:lang w:bidi="ar"/>
              </w:rPr>
              <w:t>梨树种植面积及留存老梨树</w:t>
            </w:r>
          </w:p>
        </w:tc>
        <w:tc>
          <w:tcPr>
            <w:tcW w:w="1020" w:type="dxa"/>
            <w:vAlign w:val="center"/>
          </w:tcPr>
          <w:p w14:paraId="6DDA37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highlight w:val="none"/>
                <w:lang w:val="en-US" w:eastAsia="zh-CN" w:bidi="ar"/>
              </w:rPr>
              <w:t>常住</w:t>
            </w:r>
            <w:r>
              <w:rPr>
                <w:rFonts w:hint="eastAsia" w:ascii="宋体" w:hAnsi="宋体" w:cs="宋体"/>
                <w:color w:val="000000"/>
                <w:kern w:val="0"/>
                <w:sz w:val="18"/>
                <w:szCs w:val="18"/>
                <w:highlight w:val="none"/>
                <w:lang w:bidi="ar"/>
              </w:rPr>
              <w:t>人口</w:t>
            </w:r>
          </w:p>
        </w:tc>
        <w:tc>
          <w:tcPr>
            <w:tcW w:w="1035" w:type="dxa"/>
            <w:vAlign w:val="center"/>
          </w:tcPr>
          <w:p w14:paraId="66E82C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highlight w:val="none"/>
                <w:lang w:val="en-US" w:eastAsia="zh-CN" w:bidi="ar"/>
              </w:rPr>
              <w:t>从业人口</w:t>
            </w:r>
          </w:p>
        </w:tc>
        <w:tc>
          <w:tcPr>
            <w:tcW w:w="2235" w:type="dxa"/>
            <w:vAlign w:val="center"/>
          </w:tcPr>
          <w:p w14:paraId="34501C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lang w:bidi="ar"/>
              </w:rPr>
              <w:t>交通</w:t>
            </w:r>
          </w:p>
        </w:tc>
        <w:tc>
          <w:tcPr>
            <w:tcW w:w="1605" w:type="dxa"/>
            <w:vAlign w:val="center"/>
          </w:tcPr>
          <w:p w14:paraId="75473C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lang w:bidi="ar"/>
              </w:rPr>
              <w:t>农业生产</w:t>
            </w:r>
          </w:p>
        </w:tc>
        <w:tc>
          <w:tcPr>
            <w:tcW w:w="1605" w:type="dxa"/>
            <w:vAlign w:val="center"/>
          </w:tcPr>
          <w:p w14:paraId="0FC318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cs="宋体" w:eastAsiaTheme="minorEastAsia"/>
                <w:color w:val="000000"/>
                <w:kern w:val="0"/>
                <w:sz w:val="18"/>
                <w:szCs w:val="18"/>
                <w:lang w:val="en-US" w:eastAsia="zh-CN" w:bidi="ar"/>
              </w:rPr>
            </w:pPr>
            <w:r>
              <w:rPr>
                <w:rFonts w:hint="eastAsia" w:ascii="宋体" w:hAnsi="宋体" w:cs="宋体"/>
                <w:color w:val="000000"/>
                <w:kern w:val="0"/>
                <w:sz w:val="18"/>
                <w:szCs w:val="18"/>
                <w:lang w:val="en-US" w:eastAsia="zh-CN" w:bidi="ar"/>
              </w:rPr>
              <w:t>收入情况</w:t>
            </w:r>
          </w:p>
        </w:tc>
      </w:tr>
      <w:tr w14:paraId="4B8C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6F32C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lang w:bidi="ar"/>
              </w:rPr>
              <w:t>陈区</w:t>
            </w:r>
          </w:p>
        </w:tc>
        <w:tc>
          <w:tcPr>
            <w:tcW w:w="1050" w:type="dxa"/>
            <w:vAlign w:val="center"/>
          </w:tcPr>
          <w:p w14:paraId="0EA29D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lang w:bidi="ar"/>
              </w:rPr>
              <w:t>铁炉村</w:t>
            </w:r>
          </w:p>
        </w:tc>
        <w:tc>
          <w:tcPr>
            <w:tcW w:w="1785" w:type="dxa"/>
            <w:vAlign w:val="center"/>
          </w:tcPr>
          <w:p w14:paraId="7C94095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vertAlign w:val="baseline"/>
              </w:rPr>
            </w:pPr>
            <w:r>
              <w:rPr>
                <w:rFonts w:hint="eastAsia" w:ascii="宋体" w:hAnsi="宋体" w:cs="宋体"/>
                <w:color w:val="000000"/>
                <w:kern w:val="0"/>
                <w:sz w:val="18"/>
                <w:szCs w:val="18"/>
                <w:highlight w:val="none"/>
                <w:lang w:bidi="ar"/>
              </w:rPr>
              <w:t>黄梨种植面积1040亩，老梨树500余棵。</w:t>
            </w:r>
          </w:p>
        </w:tc>
        <w:tc>
          <w:tcPr>
            <w:tcW w:w="1020" w:type="dxa"/>
            <w:vAlign w:val="center"/>
          </w:tcPr>
          <w:p w14:paraId="747FCF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highlight w:val="none"/>
                <w:lang w:bidi="ar"/>
              </w:rPr>
              <w:t>487人</w:t>
            </w:r>
          </w:p>
        </w:tc>
        <w:tc>
          <w:tcPr>
            <w:tcW w:w="1035" w:type="dxa"/>
            <w:vAlign w:val="center"/>
          </w:tcPr>
          <w:p w14:paraId="2643A5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highlight w:val="none"/>
                <w:lang w:val="en-US" w:eastAsia="zh-CN" w:bidi="ar"/>
              </w:rPr>
              <w:t>300余人</w:t>
            </w:r>
          </w:p>
        </w:tc>
        <w:tc>
          <w:tcPr>
            <w:tcW w:w="2235" w:type="dxa"/>
          </w:tcPr>
          <w:p w14:paraId="7DD71C2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vertAlign w:val="baseline"/>
              </w:rPr>
            </w:pPr>
            <w:r>
              <w:rPr>
                <w:rFonts w:hint="eastAsia" w:ascii="宋体" w:hAnsi="宋体" w:cs="宋体"/>
                <w:color w:val="000000"/>
                <w:kern w:val="0"/>
                <w:sz w:val="18"/>
                <w:szCs w:val="18"/>
                <w:lang w:bidi="ar"/>
              </w:rPr>
              <w:t>紧邻省道坪曲线，距离太行一号旅游公路0.5公里，距市区13公里。</w:t>
            </w:r>
          </w:p>
        </w:tc>
        <w:tc>
          <w:tcPr>
            <w:tcW w:w="1605" w:type="dxa"/>
            <w:vAlign w:val="center"/>
          </w:tcPr>
          <w:p w14:paraId="04281C5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vertAlign w:val="baseline"/>
              </w:rPr>
            </w:pPr>
            <w:r>
              <w:rPr>
                <w:rFonts w:hint="eastAsia" w:ascii="宋体" w:hAnsi="宋体" w:cs="宋体"/>
                <w:color w:val="000000"/>
                <w:kern w:val="0"/>
                <w:sz w:val="18"/>
                <w:szCs w:val="18"/>
                <w:lang w:bidi="ar"/>
              </w:rPr>
              <w:t>以种植黄梨为主。</w:t>
            </w:r>
          </w:p>
        </w:tc>
        <w:tc>
          <w:tcPr>
            <w:tcW w:w="1605" w:type="dxa"/>
            <w:vAlign w:val="center"/>
          </w:tcPr>
          <w:p w14:paraId="68B22C5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宋体" w:hAnsi="宋体" w:cs="宋体" w:eastAsiaTheme="minorEastAsia"/>
                <w:color w:val="000000"/>
                <w:kern w:val="0"/>
                <w:sz w:val="18"/>
                <w:szCs w:val="18"/>
                <w:lang w:val="en-US" w:eastAsia="zh-CN" w:bidi="ar"/>
              </w:rPr>
            </w:pPr>
            <w:r>
              <w:rPr>
                <w:rFonts w:hint="eastAsia" w:ascii="宋体" w:hAnsi="宋体" w:cs="宋体"/>
                <w:color w:val="000000"/>
                <w:kern w:val="0"/>
                <w:sz w:val="18"/>
                <w:szCs w:val="18"/>
                <w:lang w:val="en-US" w:eastAsia="zh-CN" w:bidi="ar"/>
              </w:rPr>
              <w:t>村集体收入29万元，合作社收入1500万元，村民人均收入3.14万元。</w:t>
            </w:r>
          </w:p>
        </w:tc>
      </w:tr>
      <w:tr w14:paraId="48A0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455F5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lang w:bidi="ar"/>
              </w:rPr>
              <w:t>寺庄</w:t>
            </w:r>
          </w:p>
        </w:tc>
        <w:tc>
          <w:tcPr>
            <w:tcW w:w="1050" w:type="dxa"/>
            <w:vAlign w:val="center"/>
          </w:tcPr>
          <w:p w14:paraId="63F97D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lang w:bidi="ar"/>
              </w:rPr>
              <w:t>芦家峪村</w:t>
            </w:r>
          </w:p>
        </w:tc>
        <w:tc>
          <w:tcPr>
            <w:tcW w:w="1785" w:type="dxa"/>
          </w:tcPr>
          <w:p w14:paraId="1F23A84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vertAlign w:val="baseline"/>
              </w:rPr>
            </w:pPr>
            <w:r>
              <w:rPr>
                <w:rFonts w:hint="eastAsia" w:ascii="宋体" w:hAnsi="宋体" w:cs="宋体"/>
                <w:color w:val="000000"/>
                <w:kern w:val="0"/>
                <w:sz w:val="18"/>
                <w:szCs w:val="18"/>
                <w:highlight w:val="none"/>
                <w:lang w:bidi="ar"/>
              </w:rPr>
              <w:t>黄梨种植面积300亩，老黄梨树1900余棵。</w:t>
            </w:r>
          </w:p>
        </w:tc>
        <w:tc>
          <w:tcPr>
            <w:tcW w:w="1020" w:type="dxa"/>
            <w:vAlign w:val="center"/>
          </w:tcPr>
          <w:p w14:paraId="70435E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highlight w:val="none"/>
                <w:lang w:bidi="ar"/>
              </w:rPr>
              <w:t>768人</w:t>
            </w:r>
          </w:p>
        </w:tc>
        <w:tc>
          <w:tcPr>
            <w:tcW w:w="1035" w:type="dxa"/>
            <w:vAlign w:val="center"/>
          </w:tcPr>
          <w:p w14:paraId="149702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highlight w:val="none"/>
                <w:lang w:val="en-US" w:eastAsia="zh-CN" w:bidi="ar"/>
              </w:rPr>
              <w:t>43人</w:t>
            </w:r>
          </w:p>
        </w:tc>
        <w:tc>
          <w:tcPr>
            <w:tcW w:w="2235" w:type="dxa"/>
          </w:tcPr>
          <w:p w14:paraId="7450527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vertAlign w:val="baseline"/>
              </w:rPr>
            </w:pPr>
            <w:r>
              <w:rPr>
                <w:rFonts w:hint="eastAsia" w:ascii="宋体" w:hAnsi="宋体" w:cs="宋体"/>
                <w:color w:val="000000"/>
                <w:kern w:val="0"/>
                <w:sz w:val="18"/>
                <w:szCs w:val="18"/>
                <w:lang w:bidi="ar"/>
              </w:rPr>
              <w:t>芦家峪村委距太行一号2.5公里，距省道（227）8公里</w:t>
            </w:r>
          </w:p>
        </w:tc>
        <w:tc>
          <w:tcPr>
            <w:tcW w:w="1605" w:type="dxa"/>
            <w:vAlign w:val="center"/>
          </w:tcPr>
          <w:p w14:paraId="2749018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vertAlign w:val="baseline"/>
              </w:rPr>
            </w:pPr>
            <w:r>
              <w:rPr>
                <w:rFonts w:hint="eastAsia" w:ascii="宋体" w:hAnsi="宋体" w:cs="宋体"/>
                <w:color w:val="000000"/>
                <w:kern w:val="0"/>
                <w:sz w:val="18"/>
                <w:szCs w:val="18"/>
                <w:lang w:bidi="ar"/>
              </w:rPr>
              <w:t>主要农作物梨树和玉米。</w:t>
            </w:r>
          </w:p>
        </w:tc>
        <w:tc>
          <w:tcPr>
            <w:tcW w:w="1605" w:type="dxa"/>
            <w:vAlign w:val="center"/>
          </w:tcPr>
          <w:p w14:paraId="48E75A6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宋体" w:hAnsi="宋体" w:cs="宋体"/>
                <w:color w:val="000000"/>
                <w:kern w:val="0"/>
                <w:sz w:val="18"/>
                <w:szCs w:val="18"/>
                <w:lang w:val="en-US" w:bidi="ar"/>
              </w:rPr>
            </w:pPr>
            <w:r>
              <w:rPr>
                <w:rFonts w:hint="eastAsia" w:ascii="宋体" w:hAnsi="宋体" w:cs="宋体"/>
                <w:color w:val="000000"/>
                <w:sz w:val="18"/>
                <w:szCs w:val="18"/>
                <w:lang w:val="en-US" w:eastAsia="zh-CN"/>
              </w:rPr>
              <w:t>村集体收入达1</w:t>
            </w:r>
            <w:r>
              <w:rPr>
                <w:rFonts w:hint="eastAsia" w:ascii="宋体" w:hAnsi="宋体" w:cs="宋体"/>
                <w:color w:val="000000"/>
                <w:kern w:val="0"/>
                <w:sz w:val="18"/>
                <w:szCs w:val="18"/>
                <w:lang w:val="en-US" w:eastAsia="zh-CN" w:bidi="ar"/>
              </w:rPr>
              <w:t>31万元，村民人均收入2.015万元。</w:t>
            </w:r>
          </w:p>
        </w:tc>
      </w:tr>
      <w:tr w14:paraId="0033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83EBB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lang w:bidi="ar"/>
              </w:rPr>
              <w:t>寺庄</w:t>
            </w:r>
          </w:p>
        </w:tc>
        <w:tc>
          <w:tcPr>
            <w:tcW w:w="1050" w:type="dxa"/>
            <w:vAlign w:val="center"/>
          </w:tcPr>
          <w:p w14:paraId="61DAB1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lang w:bidi="ar"/>
              </w:rPr>
              <w:t>釜山村</w:t>
            </w:r>
          </w:p>
        </w:tc>
        <w:tc>
          <w:tcPr>
            <w:tcW w:w="1785" w:type="dxa"/>
          </w:tcPr>
          <w:p w14:paraId="3B2D3E8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vertAlign w:val="baseline"/>
              </w:rPr>
            </w:pPr>
            <w:r>
              <w:rPr>
                <w:rFonts w:hint="eastAsia" w:ascii="宋体" w:hAnsi="宋体" w:cs="宋体"/>
                <w:color w:val="000000"/>
                <w:kern w:val="0"/>
                <w:sz w:val="18"/>
                <w:szCs w:val="18"/>
                <w:highlight w:val="none"/>
                <w:lang w:bidi="ar"/>
              </w:rPr>
              <w:t>梨树种植面积300亩，老梨树约 500 余棵。</w:t>
            </w:r>
          </w:p>
        </w:tc>
        <w:tc>
          <w:tcPr>
            <w:tcW w:w="1020" w:type="dxa"/>
            <w:vAlign w:val="center"/>
          </w:tcPr>
          <w:p w14:paraId="314512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sz w:val="18"/>
                <w:szCs w:val="18"/>
                <w:highlight w:val="none"/>
              </w:rPr>
              <w:t>1094人</w:t>
            </w:r>
          </w:p>
        </w:tc>
        <w:tc>
          <w:tcPr>
            <w:tcW w:w="1035" w:type="dxa"/>
            <w:vAlign w:val="center"/>
          </w:tcPr>
          <w:p w14:paraId="2A0719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sz w:val="18"/>
                <w:szCs w:val="18"/>
                <w:highlight w:val="none"/>
                <w:lang w:val="en-US" w:eastAsia="zh-CN"/>
              </w:rPr>
              <w:t>5人</w:t>
            </w:r>
          </w:p>
        </w:tc>
        <w:tc>
          <w:tcPr>
            <w:tcW w:w="2235" w:type="dxa"/>
          </w:tcPr>
          <w:p w14:paraId="795355B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vertAlign w:val="baseline"/>
              </w:rPr>
            </w:pPr>
            <w:r>
              <w:rPr>
                <w:rFonts w:hint="eastAsia" w:ascii="宋体" w:hAnsi="宋体" w:cs="宋体"/>
                <w:color w:val="000000"/>
                <w:kern w:val="0"/>
                <w:sz w:val="18"/>
                <w:szCs w:val="18"/>
                <w:lang w:bidi="ar"/>
              </w:rPr>
              <w:t>釜山村距离太行一号路0.5公里，距离227省道3公里</w:t>
            </w:r>
          </w:p>
        </w:tc>
        <w:tc>
          <w:tcPr>
            <w:tcW w:w="1605" w:type="dxa"/>
            <w:vAlign w:val="center"/>
          </w:tcPr>
          <w:p w14:paraId="4A5CB0A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vertAlign w:val="baseline"/>
              </w:rPr>
            </w:pPr>
            <w:r>
              <w:rPr>
                <w:rFonts w:hint="eastAsia" w:ascii="宋体" w:hAnsi="宋体" w:cs="宋体"/>
                <w:color w:val="000000"/>
                <w:sz w:val="18"/>
                <w:szCs w:val="18"/>
              </w:rPr>
              <w:t>农作物以梨树、玉米和谷子为主。</w:t>
            </w:r>
          </w:p>
        </w:tc>
        <w:tc>
          <w:tcPr>
            <w:tcW w:w="1605" w:type="dxa"/>
            <w:vAlign w:val="center"/>
          </w:tcPr>
          <w:p w14:paraId="428B01C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村集体收入700万元，村民人均收入2.6万元。</w:t>
            </w:r>
          </w:p>
        </w:tc>
      </w:tr>
      <w:tr w14:paraId="2067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40058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lang w:bidi="ar"/>
              </w:rPr>
              <w:t>寺庄</w:t>
            </w:r>
          </w:p>
        </w:tc>
        <w:tc>
          <w:tcPr>
            <w:tcW w:w="1050" w:type="dxa"/>
            <w:vAlign w:val="center"/>
          </w:tcPr>
          <w:p w14:paraId="011C05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lang w:bidi="ar"/>
              </w:rPr>
              <w:t>李家河村</w:t>
            </w:r>
          </w:p>
        </w:tc>
        <w:tc>
          <w:tcPr>
            <w:tcW w:w="1785" w:type="dxa"/>
            <w:vAlign w:val="center"/>
          </w:tcPr>
          <w:p w14:paraId="40DF36E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vertAlign w:val="baseline"/>
              </w:rPr>
            </w:pPr>
            <w:r>
              <w:rPr>
                <w:rFonts w:hint="eastAsia" w:ascii="宋体" w:hAnsi="宋体" w:cs="宋体"/>
                <w:color w:val="000000"/>
                <w:kern w:val="0"/>
                <w:sz w:val="18"/>
                <w:szCs w:val="18"/>
                <w:highlight w:val="none"/>
                <w:lang w:bidi="ar"/>
              </w:rPr>
              <w:t>梨树种植面积470亩</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老梨树3900棵。</w:t>
            </w:r>
          </w:p>
        </w:tc>
        <w:tc>
          <w:tcPr>
            <w:tcW w:w="1020" w:type="dxa"/>
            <w:vAlign w:val="center"/>
          </w:tcPr>
          <w:p w14:paraId="65B380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sz w:val="18"/>
                <w:szCs w:val="18"/>
                <w:highlight w:val="none"/>
              </w:rPr>
              <w:t>1059人</w:t>
            </w:r>
          </w:p>
        </w:tc>
        <w:tc>
          <w:tcPr>
            <w:tcW w:w="1035" w:type="dxa"/>
            <w:vAlign w:val="center"/>
          </w:tcPr>
          <w:p w14:paraId="490C46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sz w:val="18"/>
                <w:szCs w:val="18"/>
                <w:highlight w:val="none"/>
                <w:lang w:val="en-US" w:eastAsia="zh-CN"/>
              </w:rPr>
              <w:t>59人</w:t>
            </w:r>
          </w:p>
        </w:tc>
        <w:tc>
          <w:tcPr>
            <w:tcW w:w="2235" w:type="dxa"/>
          </w:tcPr>
          <w:p w14:paraId="1DDA87E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vertAlign w:val="baseline"/>
              </w:rPr>
            </w:pPr>
            <w:r>
              <w:rPr>
                <w:rFonts w:hint="eastAsia" w:ascii="宋体" w:hAnsi="宋体" w:cs="宋体"/>
                <w:color w:val="000000"/>
                <w:sz w:val="18"/>
                <w:szCs w:val="18"/>
              </w:rPr>
              <w:t>李家河村距离一号路0.2公里，离省道7.5公里</w:t>
            </w:r>
          </w:p>
        </w:tc>
        <w:tc>
          <w:tcPr>
            <w:tcW w:w="1605" w:type="dxa"/>
            <w:vAlign w:val="center"/>
          </w:tcPr>
          <w:p w14:paraId="4C30A23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vertAlign w:val="baseline"/>
              </w:rPr>
            </w:pPr>
            <w:r>
              <w:rPr>
                <w:rFonts w:hint="eastAsia" w:ascii="宋体" w:hAnsi="宋体" w:cs="宋体"/>
                <w:color w:val="000000"/>
                <w:sz w:val="18"/>
                <w:szCs w:val="18"/>
              </w:rPr>
              <w:t>农作物有梨树，玉米，小麦，大豆。</w:t>
            </w:r>
          </w:p>
        </w:tc>
        <w:tc>
          <w:tcPr>
            <w:tcW w:w="1605" w:type="dxa"/>
            <w:vAlign w:val="center"/>
          </w:tcPr>
          <w:p w14:paraId="0F73DF4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宋体" w:hAnsi="宋体" w:cs="宋体" w:eastAsiaTheme="minorEastAsia"/>
                <w:color w:val="000000"/>
                <w:sz w:val="18"/>
                <w:szCs w:val="18"/>
                <w:lang w:val="en-US" w:eastAsia="zh-CN"/>
              </w:rPr>
            </w:pPr>
            <w:r>
              <w:rPr>
                <w:rFonts w:hint="default" w:ascii="宋体" w:hAnsi="宋体" w:cs="宋体" w:eastAsiaTheme="minorEastAsia"/>
                <w:color w:val="000000"/>
                <w:sz w:val="18"/>
                <w:szCs w:val="18"/>
                <w:lang w:val="en-US" w:eastAsia="zh-CN"/>
              </w:rPr>
              <w:t>村集体收入128万元</w:t>
            </w:r>
            <w:r>
              <w:rPr>
                <w:rFonts w:hint="eastAsia" w:ascii="宋体" w:hAnsi="宋体" w:cs="宋体"/>
                <w:color w:val="000000"/>
                <w:sz w:val="18"/>
                <w:szCs w:val="18"/>
                <w:lang w:val="en-US" w:eastAsia="zh-CN"/>
              </w:rPr>
              <w:t>，村民人均收入1.9万元。</w:t>
            </w:r>
          </w:p>
        </w:tc>
      </w:tr>
      <w:tr w14:paraId="63C4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444EE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lang w:bidi="ar"/>
              </w:rPr>
              <w:t>野川</w:t>
            </w:r>
          </w:p>
        </w:tc>
        <w:tc>
          <w:tcPr>
            <w:tcW w:w="1050" w:type="dxa"/>
            <w:vAlign w:val="center"/>
          </w:tcPr>
          <w:p w14:paraId="7565D3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kern w:val="0"/>
                <w:sz w:val="18"/>
                <w:szCs w:val="18"/>
                <w:lang w:bidi="ar"/>
              </w:rPr>
              <w:t>杜寨村</w:t>
            </w:r>
          </w:p>
        </w:tc>
        <w:tc>
          <w:tcPr>
            <w:tcW w:w="1785" w:type="dxa"/>
            <w:vAlign w:val="center"/>
          </w:tcPr>
          <w:p w14:paraId="7425A27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eastAsiaTheme="minorEastAsia"/>
                <w:vertAlign w:val="baseline"/>
                <w:lang w:eastAsia="zh-CN"/>
              </w:rPr>
            </w:pPr>
            <w:r>
              <w:rPr>
                <w:rFonts w:hint="eastAsia" w:ascii="宋体" w:hAnsi="宋体" w:cs="宋体"/>
                <w:color w:val="000000"/>
                <w:kern w:val="0"/>
                <w:sz w:val="18"/>
                <w:szCs w:val="18"/>
                <w:highlight w:val="none"/>
                <w:lang w:bidi="ar"/>
              </w:rPr>
              <w:t>梨树种植面积</w:t>
            </w:r>
            <w:r>
              <w:rPr>
                <w:rFonts w:hint="eastAsia" w:ascii="宋体" w:hAnsi="宋体" w:cs="宋体"/>
                <w:color w:val="000000"/>
                <w:kern w:val="0"/>
                <w:sz w:val="18"/>
                <w:szCs w:val="18"/>
                <w:highlight w:val="none"/>
                <w:lang w:val="en-US" w:eastAsia="zh-CN" w:bidi="ar"/>
              </w:rPr>
              <w:t>40</w:t>
            </w:r>
            <w:r>
              <w:rPr>
                <w:rFonts w:hint="eastAsia" w:ascii="宋体" w:hAnsi="宋体" w:cs="宋体"/>
                <w:color w:val="000000"/>
                <w:kern w:val="0"/>
                <w:sz w:val="18"/>
                <w:szCs w:val="18"/>
                <w:highlight w:val="none"/>
                <w:lang w:bidi="ar"/>
              </w:rPr>
              <w:t>0亩，老梨树400余棵</w:t>
            </w:r>
            <w:r>
              <w:rPr>
                <w:rFonts w:hint="eastAsia" w:ascii="宋体" w:hAnsi="宋体" w:cs="宋体"/>
                <w:color w:val="000000"/>
                <w:kern w:val="0"/>
                <w:sz w:val="18"/>
                <w:szCs w:val="18"/>
                <w:highlight w:val="none"/>
                <w:lang w:eastAsia="zh-CN" w:bidi="ar"/>
              </w:rPr>
              <w:t>。</w:t>
            </w:r>
          </w:p>
        </w:tc>
        <w:tc>
          <w:tcPr>
            <w:tcW w:w="1020" w:type="dxa"/>
            <w:vAlign w:val="center"/>
          </w:tcPr>
          <w:p w14:paraId="4DB37D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sz w:val="18"/>
                <w:szCs w:val="18"/>
                <w:highlight w:val="none"/>
              </w:rPr>
              <w:t>1078人</w:t>
            </w:r>
          </w:p>
        </w:tc>
        <w:tc>
          <w:tcPr>
            <w:tcW w:w="1035" w:type="dxa"/>
            <w:vAlign w:val="center"/>
          </w:tcPr>
          <w:p w14:paraId="449FE8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宋体" w:hAnsi="宋体" w:cs="宋体"/>
                <w:color w:val="000000"/>
                <w:sz w:val="18"/>
                <w:szCs w:val="18"/>
                <w:highlight w:val="none"/>
                <w:lang w:val="en-US" w:eastAsia="zh-CN"/>
              </w:rPr>
              <w:t>10人</w:t>
            </w:r>
          </w:p>
        </w:tc>
        <w:tc>
          <w:tcPr>
            <w:tcW w:w="2235" w:type="dxa"/>
          </w:tcPr>
          <w:p w14:paraId="75F2CE4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vertAlign w:val="baseline"/>
              </w:rPr>
            </w:pPr>
            <w:r>
              <w:rPr>
                <w:rFonts w:hint="eastAsia" w:ascii="宋体" w:hAnsi="宋体" w:cs="宋体"/>
                <w:color w:val="000000"/>
                <w:kern w:val="0"/>
                <w:sz w:val="18"/>
                <w:szCs w:val="18"/>
                <w:lang w:bidi="ar"/>
              </w:rPr>
              <w:t>南距207国道8公里，距市区11公里。</w:t>
            </w:r>
          </w:p>
        </w:tc>
        <w:tc>
          <w:tcPr>
            <w:tcW w:w="1605" w:type="dxa"/>
            <w:vAlign w:val="center"/>
          </w:tcPr>
          <w:p w14:paraId="1364765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vertAlign w:val="baseline"/>
              </w:rPr>
            </w:pPr>
            <w:r>
              <w:rPr>
                <w:rFonts w:hint="eastAsia" w:ascii="宋体" w:hAnsi="宋体" w:cs="宋体"/>
                <w:color w:val="000000"/>
                <w:sz w:val="18"/>
                <w:szCs w:val="18"/>
              </w:rPr>
              <w:t>主要农作物为梨树和玉米。</w:t>
            </w:r>
          </w:p>
        </w:tc>
        <w:tc>
          <w:tcPr>
            <w:tcW w:w="1605" w:type="dxa"/>
            <w:vAlign w:val="center"/>
          </w:tcPr>
          <w:p w14:paraId="6A38498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cs="宋体"/>
                <w:color w:val="000000"/>
                <w:sz w:val="18"/>
                <w:szCs w:val="18"/>
              </w:rPr>
            </w:pPr>
            <w:r>
              <w:rPr>
                <w:rFonts w:hint="default" w:ascii="宋体" w:hAnsi="宋体" w:cs="宋体" w:eastAsiaTheme="minorEastAsia"/>
                <w:color w:val="000000"/>
                <w:sz w:val="18"/>
                <w:szCs w:val="18"/>
                <w:lang w:val="en-US" w:eastAsia="zh-CN"/>
              </w:rPr>
              <w:fldChar w:fldCharType="begin"/>
            </w:r>
            <w:r>
              <w:rPr>
                <w:rFonts w:hint="default" w:ascii="宋体" w:hAnsi="宋体" w:cs="宋体" w:eastAsiaTheme="minorEastAsia"/>
                <w:color w:val="000000"/>
                <w:sz w:val="18"/>
                <w:szCs w:val="18"/>
                <w:lang w:val="en-US" w:eastAsia="zh-CN"/>
              </w:rPr>
              <w:instrText xml:space="preserve"> HYPERLINK "https://baike.baidu.com/item/%E5%86%9C%E6%9D%91%E7%BB%8F%E6%B5%8E%E6%80%BB%E6%94%B6%E5%85%A5/10535162?fromModule=lemma_inlink" \t "https://baike.baidu.com/item/%E6%9D%9C%E5%AF%A8%E6%9D%91/_blank" </w:instrText>
            </w:r>
            <w:r>
              <w:rPr>
                <w:rFonts w:hint="default" w:ascii="宋体" w:hAnsi="宋体" w:cs="宋体" w:eastAsiaTheme="minorEastAsia"/>
                <w:color w:val="000000"/>
                <w:sz w:val="18"/>
                <w:szCs w:val="18"/>
                <w:lang w:val="en-US" w:eastAsia="zh-CN"/>
              </w:rPr>
              <w:fldChar w:fldCharType="separate"/>
            </w:r>
            <w:r>
              <w:rPr>
                <w:rFonts w:hint="eastAsia" w:ascii="宋体" w:hAnsi="宋体" w:cs="宋体"/>
                <w:color w:val="000000"/>
                <w:sz w:val="18"/>
                <w:szCs w:val="18"/>
                <w:lang w:val="en-US" w:eastAsia="zh-CN"/>
              </w:rPr>
              <w:t>村集体收</w:t>
            </w:r>
            <w:r>
              <w:rPr>
                <w:rFonts w:hint="default" w:ascii="宋体" w:hAnsi="宋体" w:cs="宋体" w:eastAsiaTheme="minorEastAsia"/>
                <w:color w:val="000000"/>
                <w:sz w:val="18"/>
                <w:szCs w:val="18"/>
                <w:lang w:val="en-US" w:eastAsia="zh-CN"/>
              </w:rPr>
              <w:t>入</w:t>
            </w:r>
            <w:r>
              <w:rPr>
                <w:rFonts w:hint="default" w:ascii="宋体" w:hAnsi="宋体" w:cs="宋体" w:eastAsiaTheme="minorEastAsia"/>
                <w:color w:val="000000"/>
                <w:sz w:val="18"/>
                <w:szCs w:val="18"/>
                <w:lang w:val="en-US" w:eastAsia="zh-CN"/>
              </w:rPr>
              <w:fldChar w:fldCharType="end"/>
            </w:r>
            <w:r>
              <w:rPr>
                <w:rFonts w:hint="default" w:ascii="宋体" w:hAnsi="宋体" w:cs="宋体" w:eastAsiaTheme="minorEastAsia"/>
                <w:color w:val="000000"/>
                <w:sz w:val="18"/>
                <w:szCs w:val="18"/>
                <w:lang w:val="en-US" w:eastAsia="zh-CN"/>
              </w:rPr>
              <w:t>486万元</w:t>
            </w:r>
            <w:r>
              <w:rPr>
                <w:rFonts w:hint="eastAsia" w:ascii="宋体" w:hAnsi="宋体" w:cs="宋体"/>
                <w:color w:val="000000"/>
                <w:sz w:val="18"/>
                <w:szCs w:val="18"/>
                <w:lang w:val="en-US" w:eastAsia="zh-CN"/>
              </w:rPr>
              <w:t>，村民人均收入2.43万元</w:t>
            </w:r>
          </w:p>
        </w:tc>
      </w:tr>
    </w:tbl>
    <w:p w14:paraId="42235542">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 w:hAnsi="楷体" w:eastAsia="楷体" w:cs="楷体"/>
          <w:sz w:val="32"/>
          <w:szCs w:val="32"/>
          <w:lang w:val="en-US" w:eastAsia="zh-CN"/>
        </w:rPr>
      </w:pPr>
      <w:bookmarkStart w:id="30" w:name="_Toc16324"/>
      <w:r>
        <w:rPr>
          <w:rFonts w:hint="eastAsia" w:ascii="楷体" w:hAnsi="楷体" w:eastAsia="楷体" w:cs="楷体"/>
          <w:sz w:val="32"/>
          <w:szCs w:val="32"/>
          <w:lang w:val="en-US" w:eastAsia="zh-CN"/>
        </w:rPr>
        <w:t>（二）核心保护要素清单</w:t>
      </w:r>
      <w:bookmarkEnd w:id="30"/>
      <w:r>
        <w:rPr>
          <w:rFonts w:hint="eastAsia" w:ascii="楷体" w:hAnsi="楷体" w:eastAsia="楷体" w:cs="楷体"/>
          <w:sz w:val="32"/>
          <w:szCs w:val="32"/>
          <w:lang w:val="en-US" w:eastAsia="zh-CN"/>
        </w:rPr>
        <w:t xml:space="preserve"> </w:t>
      </w:r>
    </w:p>
    <w:tbl>
      <w:tblPr>
        <w:tblStyle w:val="18"/>
        <w:tblW w:w="11085" w:type="dxa"/>
        <w:tblInd w:w="-1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9495"/>
      </w:tblGrid>
      <w:tr w14:paraId="57E6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590" w:type="dxa"/>
          </w:tcPr>
          <w:p w14:paraId="4B7DBC4D">
            <w:pPr>
              <w:keepNext w:val="0"/>
              <w:keepLines w:val="0"/>
              <w:widowControl/>
              <w:suppressLineNumbers w:val="0"/>
              <w:jc w:val="center"/>
              <w:rPr>
                <w:rFonts w:hint="eastAsia" w:ascii="华文宋体" w:hAnsi="华文宋体" w:eastAsia="华文宋体" w:cs="华文宋体"/>
                <w:sz w:val="24"/>
                <w:szCs w:val="24"/>
                <w:vertAlign w:val="baseline"/>
              </w:rPr>
            </w:pPr>
            <w:r>
              <w:rPr>
                <w:rFonts w:hint="eastAsia" w:ascii="华文宋体" w:hAnsi="华文宋体" w:eastAsia="华文宋体" w:cs="华文宋体"/>
                <w:b/>
                <w:bCs/>
                <w:color w:val="080808"/>
                <w:kern w:val="0"/>
                <w:sz w:val="24"/>
                <w:szCs w:val="24"/>
                <w:lang w:val="en-US" w:eastAsia="zh-CN" w:bidi="ar"/>
              </w:rPr>
              <w:t>要素名称</w:t>
            </w:r>
          </w:p>
        </w:tc>
        <w:tc>
          <w:tcPr>
            <w:tcW w:w="9495" w:type="dxa"/>
          </w:tcPr>
          <w:p w14:paraId="47D1F6CB">
            <w:pPr>
              <w:keepNext w:val="0"/>
              <w:keepLines w:val="0"/>
              <w:widowControl/>
              <w:suppressLineNumbers w:val="0"/>
              <w:jc w:val="center"/>
              <w:rPr>
                <w:rFonts w:hint="eastAsia" w:ascii="华文宋体" w:hAnsi="华文宋体" w:eastAsia="华文宋体" w:cs="华文宋体"/>
                <w:sz w:val="24"/>
                <w:szCs w:val="24"/>
                <w:vertAlign w:val="baseline"/>
              </w:rPr>
            </w:pPr>
            <w:r>
              <w:rPr>
                <w:rFonts w:hint="eastAsia" w:ascii="华文宋体" w:hAnsi="华文宋体" w:eastAsia="华文宋体" w:cs="华文宋体"/>
                <w:b/>
                <w:bCs/>
                <w:color w:val="080808"/>
                <w:kern w:val="0"/>
                <w:sz w:val="24"/>
                <w:szCs w:val="24"/>
                <w:lang w:val="en-US" w:eastAsia="zh-CN" w:bidi="ar"/>
              </w:rPr>
              <w:t>保护内容</w:t>
            </w:r>
          </w:p>
        </w:tc>
      </w:tr>
      <w:tr w14:paraId="734C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7435123C">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b/>
                <w:bCs/>
                <w:color w:val="080808"/>
                <w:kern w:val="0"/>
                <w:sz w:val="24"/>
                <w:szCs w:val="24"/>
                <w:lang w:val="en-US" w:eastAsia="zh-CN" w:bidi="ar"/>
              </w:rPr>
              <w:t>农业物种</w:t>
            </w:r>
          </w:p>
        </w:tc>
        <w:tc>
          <w:tcPr>
            <w:tcW w:w="9495" w:type="dxa"/>
            <w:vAlign w:val="center"/>
          </w:tcPr>
          <w:p w14:paraId="5A125A2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高平大黄梨</w:t>
            </w:r>
          </w:p>
        </w:tc>
      </w:tr>
      <w:tr w14:paraId="3277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24B59B45">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b/>
                <w:bCs/>
                <w:color w:val="080808"/>
                <w:kern w:val="0"/>
                <w:sz w:val="24"/>
                <w:szCs w:val="24"/>
                <w:lang w:val="en-US" w:eastAsia="zh-CN" w:bidi="ar"/>
              </w:rPr>
              <w:t>传统知识体系与农耕技艺</w:t>
            </w:r>
          </w:p>
        </w:tc>
        <w:tc>
          <w:tcPr>
            <w:tcW w:w="9495" w:type="dxa"/>
            <w:vAlign w:val="center"/>
          </w:tcPr>
          <w:p w14:paraId="682EE46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储藏技术，</w:t>
            </w:r>
            <w:r>
              <w:rPr>
                <w:rFonts w:hint="default" w:ascii="宋体" w:hAnsi="宋体" w:eastAsia="宋体" w:cs="宋体"/>
                <w:sz w:val="21"/>
                <w:szCs w:val="21"/>
                <w:vertAlign w:val="baseline"/>
                <w:lang w:val="zh-CN" w:eastAsia="zh-CN"/>
              </w:rPr>
              <w:t>老梨树防腐</w:t>
            </w:r>
            <w:r>
              <w:rPr>
                <w:rFonts w:hint="eastAsia" w:ascii="宋体" w:hAnsi="宋体" w:eastAsia="宋体" w:cs="宋体"/>
                <w:sz w:val="21"/>
                <w:szCs w:val="21"/>
                <w:vertAlign w:val="baseline"/>
                <w:lang w:val="zh-CN" w:eastAsia="zh-CN"/>
              </w:rPr>
              <w:t>技术，</w:t>
            </w:r>
            <w:r>
              <w:rPr>
                <w:rFonts w:hint="eastAsia" w:ascii="宋体" w:hAnsi="宋体" w:eastAsia="宋体" w:cs="宋体"/>
                <w:sz w:val="21"/>
                <w:szCs w:val="21"/>
                <w:vertAlign w:val="baseline"/>
                <w:lang w:val="en-US" w:eastAsia="zh-CN"/>
              </w:rPr>
              <w:t>栽培管理技术</w:t>
            </w:r>
          </w:p>
        </w:tc>
      </w:tr>
      <w:tr w14:paraId="3447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04FE1E6C">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b/>
                <w:bCs/>
                <w:color w:val="080808"/>
                <w:kern w:val="0"/>
                <w:sz w:val="24"/>
                <w:szCs w:val="24"/>
                <w:lang w:val="en-US" w:eastAsia="zh-CN" w:bidi="ar"/>
              </w:rPr>
              <w:t>农业景观</w:t>
            </w:r>
          </w:p>
        </w:tc>
        <w:tc>
          <w:tcPr>
            <w:tcW w:w="9495" w:type="dxa"/>
          </w:tcPr>
          <w:p w14:paraId="5FB7E3C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lang w:val="en-US" w:eastAsia="zh-CN"/>
              </w:rPr>
            </w:pPr>
            <w:r>
              <w:rPr>
                <w:rFonts w:hint="eastAsia" w:ascii="宋体" w:hAnsi="宋体" w:eastAsia="宋体" w:cs="宋体"/>
                <w:sz w:val="21"/>
                <w:szCs w:val="21"/>
                <w:vertAlign w:val="baseline"/>
                <w:lang w:val="en-US" w:eastAsia="zh-CN"/>
              </w:rPr>
              <w:t>高平市铁炉贡梨种植专业合作社果园，釜山古梨树公园，古梨树</w:t>
            </w:r>
          </w:p>
        </w:tc>
      </w:tr>
      <w:tr w14:paraId="4E44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3F1E30B3">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b/>
                <w:bCs/>
                <w:color w:val="080808"/>
                <w:kern w:val="0"/>
                <w:sz w:val="24"/>
                <w:szCs w:val="24"/>
                <w:lang w:val="en-US" w:eastAsia="zh-CN" w:bidi="ar"/>
              </w:rPr>
              <w:t>节庆活动</w:t>
            </w:r>
          </w:p>
        </w:tc>
        <w:tc>
          <w:tcPr>
            <w:tcW w:w="9495" w:type="dxa"/>
            <w:vAlign w:val="center"/>
          </w:tcPr>
          <w:p w14:paraId="1EA159B2">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jc w:val="center"/>
              <w:textAlignment w:val="auto"/>
              <w:rPr>
                <w:rFonts w:hint="eastAsia" w:ascii="仿宋_GB2312" w:hAnsi="仿宋_GB2312" w:eastAsia="仿宋_GB2312" w:cs="仿宋_GB2312"/>
                <w:sz w:val="24"/>
                <w:szCs w:val="24"/>
                <w:vertAlign w:val="baseline"/>
              </w:rPr>
            </w:pPr>
            <w:r>
              <w:rPr>
                <w:rFonts w:hint="eastAsia"/>
                <w:lang w:val="en-US" w:eastAsia="zh-CN"/>
              </w:rPr>
              <w:t>文化活动，节日庆典</w:t>
            </w:r>
          </w:p>
        </w:tc>
      </w:tr>
      <w:tr w14:paraId="32CB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1485DF91">
            <w:pPr>
              <w:keepNext w:val="0"/>
              <w:keepLines w:val="0"/>
              <w:widowControl/>
              <w:suppressLineNumbers w:val="0"/>
              <w:jc w:val="center"/>
              <w:rPr>
                <w:rFonts w:hint="default" w:ascii="宋体" w:hAnsi="宋体" w:eastAsia="宋体" w:cs="宋体"/>
                <w:sz w:val="24"/>
                <w:szCs w:val="24"/>
                <w:vertAlign w:val="baseline"/>
                <w:lang w:val="en-US"/>
              </w:rPr>
            </w:pPr>
            <w:r>
              <w:rPr>
                <w:rFonts w:hint="eastAsia" w:ascii="宋体" w:hAnsi="宋体" w:eastAsia="宋体" w:cs="宋体"/>
                <w:b/>
                <w:bCs/>
                <w:color w:val="080808"/>
                <w:kern w:val="0"/>
                <w:sz w:val="24"/>
                <w:szCs w:val="24"/>
                <w:lang w:val="en-US" w:eastAsia="zh-CN" w:bidi="ar"/>
              </w:rPr>
              <w:t>传统习俗</w:t>
            </w:r>
          </w:p>
        </w:tc>
        <w:tc>
          <w:tcPr>
            <w:tcW w:w="9495" w:type="dxa"/>
          </w:tcPr>
          <w:p w14:paraId="0E76452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仿宋_GB2312" w:hAnsi="仿宋_GB2312" w:eastAsia="仿宋_GB2312" w:cs="仿宋_GB2312"/>
                <w:sz w:val="24"/>
                <w:szCs w:val="24"/>
                <w:vertAlign w:val="baseline"/>
              </w:rPr>
            </w:pPr>
            <w:r>
              <w:rPr>
                <w:rFonts w:hint="eastAsia" w:ascii="宋体" w:hAnsi="宋体" w:eastAsia="宋体" w:cs="宋体"/>
                <w:sz w:val="21"/>
                <w:szCs w:val="21"/>
                <w:vertAlign w:val="baseline"/>
                <w:lang w:val="en-US" w:eastAsia="zh-CN"/>
              </w:rPr>
              <w:t>饮食文化，生活习惯</w:t>
            </w:r>
          </w:p>
        </w:tc>
      </w:tr>
      <w:tr w14:paraId="707E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67650A20">
            <w:pPr>
              <w:keepNext w:val="0"/>
              <w:keepLines w:val="0"/>
              <w:widowControl/>
              <w:suppressLineNumbers w:val="0"/>
              <w:jc w:val="center"/>
              <w:rPr>
                <w:rFonts w:hint="eastAsia" w:ascii="宋体" w:hAnsi="宋体" w:eastAsia="宋体" w:cs="宋体"/>
                <w:b/>
                <w:bCs/>
                <w:color w:val="080808"/>
                <w:kern w:val="0"/>
                <w:sz w:val="24"/>
                <w:szCs w:val="24"/>
                <w:lang w:val="en-US" w:eastAsia="zh-CN" w:bidi="ar"/>
              </w:rPr>
            </w:pPr>
            <w:r>
              <w:rPr>
                <w:rFonts w:hint="eastAsia" w:ascii="宋体" w:hAnsi="宋体" w:eastAsia="宋体" w:cs="宋体"/>
                <w:b/>
                <w:bCs/>
                <w:color w:val="080808"/>
                <w:kern w:val="0"/>
                <w:sz w:val="24"/>
                <w:szCs w:val="24"/>
                <w:lang w:val="en-US" w:eastAsia="zh-CN" w:bidi="ar"/>
              </w:rPr>
              <w:t>传承人队伍</w:t>
            </w:r>
          </w:p>
        </w:tc>
        <w:tc>
          <w:tcPr>
            <w:tcW w:w="9495" w:type="dxa"/>
            <w:vAlign w:val="center"/>
          </w:tcPr>
          <w:p w14:paraId="1C2C034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仿宋_GB2312" w:hAnsi="仿宋_GB2312" w:eastAsia="仿宋_GB2312" w:cs="仿宋_GB2312"/>
                <w:sz w:val="24"/>
                <w:szCs w:val="24"/>
                <w:vertAlign w:val="baseline"/>
              </w:rPr>
            </w:pPr>
            <w:r>
              <w:rPr>
                <w:rFonts w:hint="eastAsia" w:ascii="宋体" w:hAnsi="宋体" w:eastAsia="宋体" w:cs="宋体"/>
                <w:sz w:val="21"/>
                <w:szCs w:val="21"/>
                <w:vertAlign w:val="baseline"/>
                <w:lang w:val="en-US" w:eastAsia="zh-CN"/>
              </w:rPr>
              <w:t>从事梨果种植、管理、仓储、销售</w:t>
            </w:r>
          </w:p>
        </w:tc>
      </w:tr>
    </w:tbl>
    <w:p w14:paraId="7D9D3CC8">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 w:hAnsi="楷体" w:eastAsia="楷体" w:cs="楷体"/>
          <w:sz w:val="32"/>
          <w:szCs w:val="32"/>
          <w:lang w:val="en-US" w:eastAsia="zh-CN"/>
        </w:rPr>
      </w:pPr>
      <w:bookmarkStart w:id="31" w:name="_Toc15252"/>
      <w:r>
        <w:rPr>
          <w:rFonts w:hint="eastAsia" w:ascii="楷体" w:hAnsi="楷体" w:eastAsia="楷体" w:cs="楷体"/>
          <w:sz w:val="32"/>
          <w:szCs w:val="32"/>
          <w:lang w:val="en-US" w:eastAsia="zh-CN"/>
        </w:rPr>
        <w:t>（三）农耕文化传承人名单</w:t>
      </w:r>
      <w:bookmarkEnd w:id="31"/>
      <w:r>
        <w:rPr>
          <w:rFonts w:hint="eastAsia" w:ascii="楷体" w:hAnsi="楷体" w:eastAsia="楷体" w:cs="楷体"/>
          <w:sz w:val="32"/>
          <w:szCs w:val="32"/>
          <w:lang w:val="en-US" w:eastAsia="zh-CN"/>
        </w:rPr>
        <w:t xml:space="preserve"> </w:t>
      </w:r>
    </w:p>
    <w:tbl>
      <w:tblPr>
        <w:tblStyle w:val="18"/>
        <w:tblW w:w="11070" w:type="dxa"/>
        <w:tblInd w:w="-1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260"/>
        <w:gridCol w:w="1260"/>
        <w:gridCol w:w="2669"/>
        <w:gridCol w:w="1111"/>
        <w:gridCol w:w="2025"/>
        <w:gridCol w:w="1784"/>
      </w:tblGrid>
      <w:tr w14:paraId="0A3B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48F7BF1">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姓名</w:t>
            </w:r>
          </w:p>
        </w:tc>
        <w:tc>
          <w:tcPr>
            <w:tcW w:w="1260" w:type="dxa"/>
            <w:vAlign w:val="center"/>
          </w:tcPr>
          <w:p w14:paraId="6A5F38D0">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出生年月</w:t>
            </w:r>
          </w:p>
        </w:tc>
        <w:tc>
          <w:tcPr>
            <w:tcW w:w="1260" w:type="dxa"/>
            <w:vAlign w:val="center"/>
          </w:tcPr>
          <w:p w14:paraId="5C076347">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文化程度</w:t>
            </w:r>
          </w:p>
        </w:tc>
        <w:tc>
          <w:tcPr>
            <w:tcW w:w="2669" w:type="dxa"/>
            <w:vAlign w:val="center"/>
          </w:tcPr>
          <w:p w14:paraId="6D880910">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传承技艺名称</w:t>
            </w:r>
          </w:p>
        </w:tc>
        <w:tc>
          <w:tcPr>
            <w:tcW w:w="1111" w:type="dxa"/>
            <w:vAlign w:val="center"/>
          </w:tcPr>
          <w:p w14:paraId="37B09CCD">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规模</w:t>
            </w:r>
          </w:p>
        </w:tc>
        <w:tc>
          <w:tcPr>
            <w:tcW w:w="2025" w:type="dxa"/>
            <w:vAlign w:val="center"/>
          </w:tcPr>
          <w:p w14:paraId="0558043F">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所在村庄</w:t>
            </w:r>
          </w:p>
        </w:tc>
        <w:tc>
          <w:tcPr>
            <w:tcW w:w="1784" w:type="dxa"/>
            <w:vAlign w:val="center"/>
          </w:tcPr>
          <w:p w14:paraId="2E905BBC">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联系电话</w:t>
            </w:r>
          </w:p>
        </w:tc>
      </w:tr>
      <w:tr w14:paraId="215E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61" w:type="dxa"/>
            <w:vAlign w:val="center"/>
          </w:tcPr>
          <w:p w14:paraId="6962E338">
            <w:pPr>
              <w:jc w:val="center"/>
              <w:rPr>
                <w:sz w:val="24"/>
                <w:szCs w:val="24"/>
                <w:vertAlign w:val="baseline"/>
              </w:rPr>
            </w:pPr>
            <w:r>
              <w:rPr>
                <w:rFonts w:hint="eastAsia" w:ascii="宋体" w:hAnsi="宋体" w:cs="宋体"/>
                <w:kern w:val="0"/>
                <w:sz w:val="24"/>
                <w:szCs w:val="24"/>
              </w:rPr>
              <w:t>王建飞</w:t>
            </w:r>
          </w:p>
        </w:tc>
        <w:tc>
          <w:tcPr>
            <w:tcW w:w="1260" w:type="dxa"/>
            <w:vAlign w:val="center"/>
          </w:tcPr>
          <w:p w14:paraId="42340690">
            <w:pPr>
              <w:jc w:val="center"/>
              <w:rPr>
                <w:rFonts w:hint="default" w:eastAsiaTheme="minorEastAsia"/>
                <w:sz w:val="24"/>
                <w:szCs w:val="24"/>
                <w:vertAlign w:val="baseline"/>
                <w:lang w:val="en-US" w:eastAsia="zh-CN"/>
              </w:rPr>
            </w:pPr>
            <w:r>
              <w:rPr>
                <w:rFonts w:hint="eastAsia"/>
                <w:sz w:val="24"/>
                <w:szCs w:val="24"/>
                <w:vertAlign w:val="baseline"/>
                <w:lang w:val="en-US" w:eastAsia="zh-CN"/>
              </w:rPr>
              <w:t>1975.10</w:t>
            </w:r>
          </w:p>
        </w:tc>
        <w:tc>
          <w:tcPr>
            <w:tcW w:w="1260" w:type="dxa"/>
            <w:vAlign w:val="center"/>
          </w:tcPr>
          <w:p w14:paraId="0E61A84A">
            <w:pPr>
              <w:jc w:val="center"/>
              <w:rPr>
                <w:rFonts w:hint="eastAsia" w:eastAsiaTheme="minorEastAsia"/>
                <w:sz w:val="24"/>
                <w:szCs w:val="24"/>
                <w:vertAlign w:val="baseline"/>
                <w:lang w:val="en-US" w:eastAsia="zh-CN"/>
              </w:rPr>
            </w:pPr>
            <w:r>
              <w:rPr>
                <w:rFonts w:hint="eastAsia"/>
                <w:sz w:val="24"/>
                <w:szCs w:val="24"/>
                <w:vertAlign w:val="baseline"/>
                <w:lang w:val="en-US" w:eastAsia="zh-CN"/>
              </w:rPr>
              <w:t>本科</w:t>
            </w:r>
          </w:p>
        </w:tc>
        <w:tc>
          <w:tcPr>
            <w:tcW w:w="2669" w:type="dxa"/>
            <w:vAlign w:val="center"/>
          </w:tcPr>
          <w:p w14:paraId="010345CC">
            <w:pPr>
              <w:jc w:val="center"/>
              <w:rPr>
                <w:rFonts w:hint="default" w:eastAsiaTheme="minorEastAsia"/>
                <w:sz w:val="24"/>
                <w:szCs w:val="24"/>
                <w:vertAlign w:val="baseline"/>
                <w:lang w:val="en-US" w:eastAsia="zh-CN"/>
              </w:rPr>
            </w:pPr>
            <w:r>
              <w:rPr>
                <w:rFonts w:hint="eastAsia"/>
                <w:sz w:val="24"/>
                <w:szCs w:val="24"/>
                <w:vertAlign w:val="baseline"/>
                <w:lang w:val="en-US" w:eastAsia="zh-CN"/>
              </w:rPr>
              <w:t>梨树标准化管理与加工</w:t>
            </w:r>
          </w:p>
        </w:tc>
        <w:tc>
          <w:tcPr>
            <w:tcW w:w="1111" w:type="dxa"/>
            <w:vAlign w:val="center"/>
          </w:tcPr>
          <w:p w14:paraId="09D21822">
            <w:pPr>
              <w:jc w:val="center"/>
              <w:rPr>
                <w:rFonts w:hint="default" w:eastAsiaTheme="minorEastAsia"/>
                <w:sz w:val="24"/>
                <w:szCs w:val="24"/>
                <w:vertAlign w:val="baseline"/>
                <w:lang w:val="en-US" w:eastAsia="zh-CN"/>
              </w:rPr>
            </w:pPr>
            <w:r>
              <w:rPr>
                <w:rFonts w:hint="eastAsia"/>
                <w:sz w:val="24"/>
                <w:szCs w:val="24"/>
                <w:vertAlign w:val="baseline"/>
                <w:lang w:val="en-US" w:eastAsia="zh-CN"/>
              </w:rPr>
              <w:t>1040亩</w:t>
            </w:r>
          </w:p>
        </w:tc>
        <w:tc>
          <w:tcPr>
            <w:tcW w:w="2025" w:type="dxa"/>
            <w:vAlign w:val="center"/>
          </w:tcPr>
          <w:p w14:paraId="753A4F12">
            <w:pPr>
              <w:jc w:val="center"/>
              <w:rPr>
                <w:rFonts w:hint="default" w:eastAsiaTheme="minorEastAsia"/>
                <w:sz w:val="24"/>
                <w:szCs w:val="24"/>
                <w:vertAlign w:val="baseline"/>
                <w:lang w:val="en-US" w:eastAsia="zh-CN"/>
              </w:rPr>
            </w:pPr>
            <w:r>
              <w:rPr>
                <w:rFonts w:hint="eastAsia"/>
                <w:sz w:val="24"/>
                <w:szCs w:val="24"/>
                <w:vertAlign w:val="baseline"/>
                <w:lang w:val="en-US" w:eastAsia="zh-CN"/>
              </w:rPr>
              <w:t>陈区镇铁炉村</w:t>
            </w:r>
          </w:p>
        </w:tc>
        <w:tc>
          <w:tcPr>
            <w:tcW w:w="1784" w:type="dxa"/>
            <w:vAlign w:val="center"/>
          </w:tcPr>
          <w:p w14:paraId="313790D3">
            <w:pPr>
              <w:jc w:val="center"/>
              <w:rPr>
                <w:sz w:val="24"/>
                <w:szCs w:val="24"/>
                <w:vertAlign w:val="baseline"/>
              </w:rPr>
            </w:pPr>
            <w:r>
              <w:rPr>
                <w:rFonts w:hint="eastAsia" w:ascii="宋体" w:hAnsi="宋体" w:cs="宋体"/>
                <w:kern w:val="0"/>
                <w:sz w:val="24"/>
                <w:szCs w:val="24"/>
              </w:rPr>
              <w:t>15536165555</w:t>
            </w:r>
          </w:p>
        </w:tc>
      </w:tr>
      <w:tr w14:paraId="75DB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61" w:type="dxa"/>
            <w:vAlign w:val="center"/>
          </w:tcPr>
          <w:p w14:paraId="1E6B6595">
            <w:pPr>
              <w:jc w:val="center"/>
              <w:rPr>
                <w:rFonts w:hint="eastAsia" w:eastAsiaTheme="minorEastAsia"/>
                <w:sz w:val="24"/>
                <w:szCs w:val="24"/>
                <w:vertAlign w:val="baseline"/>
                <w:lang w:eastAsia="zh-CN"/>
              </w:rPr>
            </w:pPr>
            <w:r>
              <w:rPr>
                <w:rFonts w:hint="eastAsia" w:ascii="宋体" w:hAnsi="宋体" w:cs="宋体"/>
                <w:kern w:val="0"/>
                <w:sz w:val="24"/>
                <w:szCs w:val="24"/>
                <w:lang w:val="en-US" w:eastAsia="zh-CN"/>
              </w:rPr>
              <w:t>牛月林</w:t>
            </w:r>
          </w:p>
        </w:tc>
        <w:tc>
          <w:tcPr>
            <w:tcW w:w="1260" w:type="dxa"/>
            <w:vAlign w:val="center"/>
          </w:tcPr>
          <w:p w14:paraId="64BAFE07">
            <w:pPr>
              <w:jc w:val="center"/>
              <w:rPr>
                <w:rFonts w:hint="default" w:eastAsiaTheme="minorEastAsia"/>
                <w:sz w:val="24"/>
                <w:szCs w:val="24"/>
                <w:vertAlign w:val="baseline"/>
                <w:lang w:val="en-US" w:eastAsia="zh-CN"/>
              </w:rPr>
            </w:pPr>
            <w:r>
              <w:rPr>
                <w:rFonts w:hint="eastAsia"/>
                <w:sz w:val="24"/>
                <w:szCs w:val="24"/>
                <w:vertAlign w:val="baseline"/>
                <w:lang w:val="en-US" w:eastAsia="zh-CN"/>
              </w:rPr>
              <w:t>1973.8</w:t>
            </w:r>
          </w:p>
        </w:tc>
        <w:tc>
          <w:tcPr>
            <w:tcW w:w="1260" w:type="dxa"/>
            <w:vAlign w:val="center"/>
          </w:tcPr>
          <w:p w14:paraId="6643BEE4">
            <w:pPr>
              <w:jc w:val="center"/>
              <w:rPr>
                <w:rFonts w:hint="eastAsia" w:eastAsiaTheme="minorEastAsia"/>
                <w:sz w:val="24"/>
                <w:szCs w:val="24"/>
                <w:vertAlign w:val="baseline"/>
                <w:lang w:val="en-US" w:eastAsia="zh-CN"/>
              </w:rPr>
            </w:pPr>
            <w:r>
              <w:rPr>
                <w:rFonts w:hint="eastAsia"/>
                <w:sz w:val="24"/>
                <w:szCs w:val="24"/>
                <w:vertAlign w:val="baseline"/>
                <w:lang w:val="en-US" w:eastAsia="zh-CN"/>
              </w:rPr>
              <w:t>大专</w:t>
            </w:r>
          </w:p>
        </w:tc>
        <w:tc>
          <w:tcPr>
            <w:tcW w:w="2669" w:type="dxa"/>
            <w:vAlign w:val="center"/>
          </w:tcPr>
          <w:p w14:paraId="1DCB74C0">
            <w:pPr>
              <w:jc w:val="center"/>
              <w:rPr>
                <w:sz w:val="24"/>
                <w:szCs w:val="24"/>
                <w:vertAlign w:val="baseline"/>
              </w:rPr>
            </w:pPr>
            <w:r>
              <w:rPr>
                <w:rFonts w:hint="eastAsia"/>
                <w:sz w:val="24"/>
                <w:szCs w:val="24"/>
                <w:vertAlign w:val="baseline"/>
                <w:lang w:val="en-US" w:eastAsia="zh-CN"/>
              </w:rPr>
              <w:t>老梨树管理与加工</w:t>
            </w:r>
          </w:p>
        </w:tc>
        <w:tc>
          <w:tcPr>
            <w:tcW w:w="1111" w:type="dxa"/>
            <w:vAlign w:val="center"/>
          </w:tcPr>
          <w:p w14:paraId="4DCB6160">
            <w:pPr>
              <w:jc w:val="center"/>
              <w:rPr>
                <w:rFonts w:hint="default" w:eastAsiaTheme="minorEastAsia"/>
                <w:sz w:val="24"/>
                <w:szCs w:val="24"/>
                <w:vertAlign w:val="baseline"/>
                <w:lang w:val="en-US" w:eastAsia="zh-CN"/>
              </w:rPr>
            </w:pPr>
            <w:r>
              <w:rPr>
                <w:rFonts w:hint="eastAsia"/>
                <w:sz w:val="24"/>
                <w:szCs w:val="24"/>
                <w:vertAlign w:val="baseline"/>
                <w:lang w:val="en-US" w:eastAsia="zh-CN"/>
              </w:rPr>
              <w:t>323亩</w:t>
            </w:r>
          </w:p>
        </w:tc>
        <w:tc>
          <w:tcPr>
            <w:tcW w:w="2025" w:type="dxa"/>
            <w:vAlign w:val="center"/>
          </w:tcPr>
          <w:p w14:paraId="34EA6EE5">
            <w:pPr>
              <w:jc w:val="center"/>
              <w:rPr>
                <w:rFonts w:hint="default" w:eastAsiaTheme="minorEastAsia"/>
                <w:sz w:val="24"/>
                <w:szCs w:val="24"/>
                <w:vertAlign w:val="baseline"/>
                <w:lang w:val="en-US" w:eastAsia="zh-CN"/>
              </w:rPr>
            </w:pPr>
            <w:r>
              <w:rPr>
                <w:rFonts w:hint="eastAsia"/>
                <w:sz w:val="24"/>
                <w:szCs w:val="24"/>
                <w:vertAlign w:val="baseline"/>
                <w:lang w:val="en-US" w:eastAsia="zh-CN"/>
              </w:rPr>
              <w:t>野川镇大西社村</w:t>
            </w:r>
          </w:p>
        </w:tc>
        <w:tc>
          <w:tcPr>
            <w:tcW w:w="1784" w:type="dxa"/>
            <w:vAlign w:val="center"/>
          </w:tcPr>
          <w:p w14:paraId="173C7063">
            <w:pPr>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13935627518</w:t>
            </w:r>
          </w:p>
        </w:tc>
      </w:tr>
      <w:tr w14:paraId="189E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61" w:type="dxa"/>
            <w:vAlign w:val="center"/>
          </w:tcPr>
          <w:p w14:paraId="3CE9EDBB">
            <w:pPr>
              <w:jc w:val="center"/>
              <w:rPr>
                <w:rFonts w:hint="eastAsia" w:eastAsiaTheme="minorEastAsia"/>
                <w:sz w:val="24"/>
                <w:szCs w:val="24"/>
                <w:vertAlign w:val="baseline"/>
                <w:lang w:val="en-US" w:eastAsia="zh-CN"/>
              </w:rPr>
            </w:pPr>
            <w:r>
              <w:rPr>
                <w:rFonts w:hint="eastAsia"/>
                <w:sz w:val="24"/>
                <w:szCs w:val="24"/>
                <w:vertAlign w:val="baseline"/>
                <w:lang w:val="en-US" w:eastAsia="zh-CN"/>
              </w:rPr>
              <w:t>丁猛</w:t>
            </w:r>
          </w:p>
        </w:tc>
        <w:tc>
          <w:tcPr>
            <w:tcW w:w="1260" w:type="dxa"/>
            <w:vAlign w:val="center"/>
          </w:tcPr>
          <w:p w14:paraId="37E74AE0">
            <w:pPr>
              <w:jc w:val="center"/>
              <w:rPr>
                <w:rFonts w:hint="default" w:eastAsiaTheme="minorEastAsia"/>
                <w:sz w:val="24"/>
                <w:szCs w:val="24"/>
                <w:vertAlign w:val="baseline"/>
                <w:lang w:val="en-US" w:eastAsia="zh-CN"/>
              </w:rPr>
            </w:pPr>
            <w:r>
              <w:rPr>
                <w:rFonts w:hint="eastAsia"/>
                <w:sz w:val="24"/>
                <w:szCs w:val="24"/>
                <w:vertAlign w:val="baseline"/>
                <w:lang w:val="en-US" w:eastAsia="zh-CN"/>
              </w:rPr>
              <w:t>1975.1</w:t>
            </w:r>
          </w:p>
        </w:tc>
        <w:tc>
          <w:tcPr>
            <w:tcW w:w="1260" w:type="dxa"/>
            <w:vAlign w:val="center"/>
          </w:tcPr>
          <w:p w14:paraId="58BB0B93">
            <w:pPr>
              <w:jc w:val="center"/>
              <w:rPr>
                <w:rFonts w:hint="eastAsia" w:eastAsiaTheme="minorEastAsia"/>
                <w:sz w:val="24"/>
                <w:szCs w:val="24"/>
                <w:vertAlign w:val="baseline"/>
                <w:lang w:val="en-US" w:eastAsia="zh-CN"/>
              </w:rPr>
            </w:pPr>
            <w:r>
              <w:rPr>
                <w:rFonts w:hint="eastAsia"/>
                <w:sz w:val="24"/>
                <w:szCs w:val="24"/>
                <w:vertAlign w:val="baseline"/>
                <w:lang w:val="en-US" w:eastAsia="zh-CN"/>
              </w:rPr>
              <w:t>中专</w:t>
            </w:r>
          </w:p>
        </w:tc>
        <w:tc>
          <w:tcPr>
            <w:tcW w:w="2669" w:type="dxa"/>
            <w:vAlign w:val="center"/>
          </w:tcPr>
          <w:p w14:paraId="591BA53D">
            <w:pPr>
              <w:jc w:val="center"/>
              <w:rPr>
                <w:rFonts w:hint="default" w:eastAsiaTheme="minorEastAsia"/>
                <w:sz w:val="24"/>
                <w:szCs w:val="24"/>
                <w:vertAlign w:val="baseline"/>
                <w:lang w:val="en-US" w:eastAsia="zh-CN"/>
              </w:rPr>
            </w:pPr>
            <w:r>
              <w:rPr>
                <w:rFonts w:hint="eastAsia"/>
                <w:sz w:val="24"/>
                <w:szCs w:val="24"/>
                <w:vertAlign w:val="baseline"/>
                <w:lang w:val="en-US" w:eastAsia="zh-CN"/>
              </w:rPr>
              <w:t>老梨树管理与加工</w:t>
            </w:r>
          </w:p>
        </w:tc>
        <w:tc>
          <w:tcPr>
            <w:tcW w:w="1111" w:type="dxa"/>
            <w:vAlign w:val="center"/>
          </w:tcPr>
          <w:p w14:paraId="72220A8C">
            <w:pPr>
              <w:jc w:val="center"/>
              <w:rPr>
                <w:rFonts w:hint="default" w:eastAsiaTheme="minorEastAsia"/>
                <w:sz w:val="24"/>
                <w:szCs w:val="24"/>
                <w:vertAlign w:val="baseline"/>
                <w:lang w:val="en-US" w:eastAsia="zh-CN"/>
              </w:rPr>
            </w:pPr>
            <w:r>
              <w:rPr>
                <w:rFonts w:hint="eastAsia"/>
                <w:sz w:val="24"/>
                <w:szCs w:val="24"/>
                <w:vertAlign w:val="baseline"/>
                <w:lang w:val="en-US" w:eastAsia="zh-CN"/>
              </w:rPr>
              <w:t>20亩</w:t>
            </w:r>
          </w:p>
        </w:tc>
        <w:tc>
          <w:tcPr>
            <w:tcW w:w="2025" w:type="dxa"/>
            <w:vAlign w:val="center"/>
          </w:tcPr>
          <w:p w14:paraId="54205D65">
            <w:pPr>
              <w:jc w:val="center"/>
              <w:rPr>
                <w:rFonts w:hint="default" w:eastAsiaTheme="minorEastAsia"/>
                <w:sz w:val="24"/>
                <w:szCs w:val="24"/>
                <w:vertAlign w:val="baseline"/>
                <w:lang w:val="en-US" w:eastAsia="zh-CN"/>
              </w:rPr>
            </w:pPr>
            <w:r>
              <w:rPr>
                <w:rFonts w:hint="eastAsia"/>
                <w:sz w:val="24"/>
                <w:szCs w:val="24"/>
                <w:vertAlign w:val="baseline"/>
                <w:lang w:val="en-US" w:eastAsia="zh-CN"/>
              </w:rPr>
              <w:t>寺庄镇李家河村</w:t>
            </w:r>
          </w:p>
        </w:tc>
        <w:tc>
          <w:tcPr>
            <w:tcW w:w="1784" w:type="dxa"/>
            <w:vAlign w:val="center"/>
          </w:tcPr>
          <w:p w14:paraId="216C59D3">
            <w:pPr>
              <w:jc w:val="center"/>
              <w:rPr>
                <w:rFonts w:hint="eastAsia" w:ascii="宋体" w:hAnsi="宋体" w:cs="宋体"/>
                <w:kern w:val="0"/>
                <w:sz w:val="24"/>
                <w:szCs w:val="24"/>
              </w:rPr>
            </w:pPr>
            <w:r>
              <w:rPr>
                <w:rFonts w:hint="eastAsia" w:ascii="宋体" w:hAnsi="宋体" w:cs="宋体"/>
                <w:kern w:val="0"/>
                <w:sz w:val="24"/>
                <w:szCs w:val="24"/>
              </w:rPr>
              <w:t>13593318369</w:t>
            </w:r>
          </w:p>
        </w:tc>
      </w:tr>
    </w:tbl>
    <w:p w14:paraId="4A8DCAE2">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 w:hAnsi="楷体" w:eastAsia="楷体" w:cs="楷体"/>
          <w:sz w:val="32"/>
          <w:szCs w:val="32"/>
          <w:lang w:val="en-US" w:eastAsia="zh-CN"/>
        </w:rPr>
      </w:pPr>
      <w:bookmarkStart w:id="32" w:name="_Toc810"/>
      <w:r>
        <w:rPr>
          <w:rFonts w:hint="eastAsia" w:ascii="楷体" w:hAnsi="楷体" w:eastAsia="楷体" w:cs="楷体"/>
          <w:sz w:val="32"/>
          <w:szCs w:val="32"/>
          <w:lang w:val="en-US" w:eastAsia="zh-CN"/>
        </w:rPr>
        <w:t>（四）拟实施计划项目清单</w:t>
      </w:r>
      <w:bookmarkEnd w:id="32"/>
      <w:r>
        <w:rPr>
          <w:rFonts w:hint="eastAsia" w:ascii="楷体" w:hAnsi="楷体" w:eastAsia="楷体" w:cs="楷体"/>
          <w:sz w:val="32"/>
          <w:szCs w:val="32"/>
          <w:lang w:val="en-US" w:eastAsia="zh-CN"/>
        </w:rPr>
        <w:t xml:space="preserve"> </w:t>
      </w:r>
    </w:p>
    <w:tbl>
      <w:tblPr>
        <w:tblStyle w:val="18"/>
        <w:tblW w:w="11085" w:type="dxa"/>
        <w:tblInd w:w="-1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43"/>
        <w:gridCol w:w="2672"/>
        <w:gridCol w:w="1229"/>
        <w:gridCol w:w="1275"/>
        <w:gridCol w:w="930"/>
        <w:gridCol w:w="840"/>
        <w:gridCol w:w="916"/>
        <w:gridCol w:w="1274"/>
      </w:tblGrid>
      <w:tr w14:paraId="0077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06" w:type="dxa"/>
            <w:vAlign w:val="center"/>
          </w:tcPr>
          <w:p w14:paraId="1C22C540">
            <w:pPr>
              <w:keepNext w:val="0"/>
              <w:keepLines w:val="0"/>
              <w:widowControl/>
              <w:suppressLineNumbers w:val="0"/>
              <w:jc w:val="center"/>
              <w:rPr>
                <w:sz w:val="24"/>
                <w:szCs w:val="24"/>
              </w:rPr>
            </w:pPr>
            <w:r>
              <w:rPr>
                <w:rFonts w:ascii="微软雅黑" w:hAnsi="微软雅黑" w:eastAsia="微软雅黑" w:cs="微软雅黑"/>
                <w:b/>
                <w:bCs/>
                <w:color w:val="080808"/>
                <w:kern w:val="0"/>
                <w:sz w:val="24"/>
                <w:szCs w:val="24"/>
                <w:lang w:val="en-US" w:eastAsia="zh-CN" w:bidi="ar"/>
              </w:rPr>
              <w:t>序号</w:t>
            </w:r>
          </w:p>
          <w:p w14:paraId="43636F9E">
            <w:pPr>
              <w:jc w:val="center"/>
              <w:rPr>
                <w:sz w:val="24"/>
                <w:szCs w:val="24"/>
                <w:vertAlign w:val="baseline"/>
              </w:rPr>
            </w:pPr>
          </w:p>
        </w:tc>
        <w:tc>
          <w:tcPr>
            <w:tcW w:w="1243" w:type="dxa"/>
            <w:vAlign w:val="center"/>
          </w:tcPr>
          <w:p w14:paraId="15E79A93">
            <w:pPr>
              <w:keepNext w:val="0"/>
              <w:keepLines w:val="0"/>
              <w:widowControl/>
              <w:suppressLineNumbers w:val="0"/>
              <w:jc w:val="center"/>
              <w:rPr>
                <w:sz w:val="24"/>
                <w:szCs w:val="24"/>
              </w:rPr>
            </w:pPr>
            <w:r>
              <w:rPr>
                <w:rFonts w:ascii="微软雅黑" w:hAnsi="微软雅黑" w:eastAsia="微软雅黑" w:cs="微软雅黑"/>
                <w:b/>
                <w:bCs/>
                <w:color w:val="080808"/>
                <w:kern w:val="0"/>
                <w:sz w:val="24"/>
                <w:szCs w:val="24"/>
                <w:lang w:val="en-US" w:eastAsia="zh-CN" w:bidi="ar"/>
              </w:rPr>
              <w:t>项目名称</w:t>
            </w:r>
          </w:p>
          <w:p w14:paraId="25ED5341">
            <w:pPr>
              <w:jc w:val="center"/>
              <w:rPr>
                <w:sz w:val="24"/>
                <w:szCs w:val="24"/>
                <w:vertAlign w:val="baseline"/>
              </w:rPr>
            </w:pPr>
          </w:p>
        </w:tc>
        <w:tc>
          <w:tcPr>
            <w:tcW w:w="2672" w:type="dxa"/>
            <w:vAlign w:val="center"/>
          </w:tcPr>
          <w:p w14:paraId="3FD861AE">
            <w:pPr>
              <w:keepNext w:val="0"/>
              <w:keepLines w:val="0"/>
              <w:widowControl/>
              <w:suppressLineNumbers w:val="0"/>
              <w:jc w:val="center"/>
              <w:rPr>
                <w:sz w:val="24"/>
                <w:szCs w:val="24"/>
              </w:rPr>
            </w:pPr>
            <w:r>
              <w:rPr>
                <w:rFonts w:ascii="微软雅黑" w:hAnsi="微软雅黑" w:eastAsia="微软雅黑" w:cs="微软雅黑"/>
                <w:b/>
                <w:bCs/>
                <w:color w:val="080808"/>
                <w:kern w:val="0"/>
                <w:sz w:val="24"/>
                <w:szCs w:val="24"/>
                <w:lang w:val="en-US" w:eastAsia="zh-CN" w:bidi="ar"/>
              </w:rPr>
              <w:t>实施内容</w:t>
            </w:r>
          </w:p>
          <w:p w14:paraId="580448F0">
            <w:pPr>
              <w:jc w:val="center"/>
              <w:rPr>
                <w:sz w:val="24"/>
                <w:szCs w:val="24"/>
                <w:vertAlign w:val="baseline"/>
              </w:rPr>
            </w:pPr>
          </w:p>
        </w:tc>
        <w:tc>
          <w:tcPr>
            <w:tcW w:w="1229" w:type="dxa"/>
            <w:vAlign w:val="center"/>
          </w:tcPr>
          <w:p w14:paraId="434CB981">
            <w:pPr>
              <w:keepNext w:val="0"/>
              <w:keepLines w:val="0"/>
              <w:widowControl/>
              <w:suppressLineNumbers w:val="0"/>
              <w:jc w:val="center"/>
              <w:rPr>
                <w:sz w:val="24"/>
                <w:szCs w:val="24"/>
              </w:rPr>
            </w:pPr>
            <w:r>
              <w:rPr>
                <w:rFonts w:ascii="微软雅黑" w:hAnsi="微软雅黑" w:eastAsia="微软雅黑" w:cs="微软雅黑"/>
                <w:b/>
                <w:bCs/>
                <w:color w:val="080808"/>
                <w:kern w:val="0"/>
                <w:sz w:val="24"/>
                <w:szCs w:val="24"/>
                <w:lang w:val="en-US" w:eastAsia="zh-CN" w:bidi="ar"/>
              </w:rPr>
              <w:t>牵头单位</w:t>
            </w:r>
          </w:p>
          <w:p w14:paraId="140ACE4C">
            <w:pPr>
              <w:jc w:val="center"/>
              <w:rPr>
                <w:sz w:val="24"/>
                <w:szCs w:val="24"/>
                <w:vertAlign w:val="baseline"/>
              </w:rPr>
            </w:pPr>
          </w:p>
        </w:tc>
        <w:tc>
          <w:tcPr>
            <w:tcW w:w="1275" w:type="dxa"/>
            <w:vAlign w:val="center"/>
          </w:tcPr>
          <w:p w14:paraId="5918BBBC">
            <w:pPr>
              <w:keepNext w:val="0"/>
              <w:keepLines w:val="0"/>
              <w:widowControl/>
              <w:suppressLineNumbers w:val="0"/>
              <w:jc w:val="center"/>
              <w:rPr>
                <w:sz w:val="24"/>
                <w:szCs w:val="24"/>
              </w:rPr>
            </w:pPr>
            <w:r>
              <w:rPr>
                <w:rFonts w:ascii="微软雅黑" w:hAnsi="微软雅黑" w:eastAsia="微软雅黑" w:cs="微软雅黑"/>
                <w:b/>
                <w:bCs/>
                <w:color w:val="080808"/>
                <w:kern w:val="0"/>
                <w:sz w:val="24"/>
                <w:szCs w:val="24"/>
                <w:lang w:val="en-US" w:eastAsia="zh-CN" w:bidi="ar"/>
              </w:rPr>
              <w:t>参与单位</w:t>
            </w:r>
          </w:p>
          <w:p w14:paraId="103DD8CA">
            <w:pPr>
              <w:jc w:val="center"/>
              <w:rPr>
                <w:sz w:val="24"/>
                <w:szCs w:val="24"/>
                <w:vertAlign w:val="baseline"/>
              </w:rPr>
            </w:pPr>
          </w:p>
        </w:tc>
        <w:tc>
          <w:tcPr>
            <w:tcW w:w="930" w:type="dxa"/>
            <w:vAlign w:val="center"/>
          </w:tcPr>
          <w:p w14:paraId="4523D18D">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投入方式</w:t>
            </w:r>
          </w:p>
        </w:tc>
        <w:tc>
          <w:tcPr>
            <w:tcW w:w="840" w:type="dxa"/>
            <w:vAlign w:val="center"/>
          </w:tcPr>
          <w:p w14:paraId="38650F52">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预算金额</w:t>
            </w:r>
          </w:p>
        </w:tc>
        <w:tc>
          <w:tcPr>
            <w:tcW w:w="916" w:type="dxa"/>
            <w:vAlign w:val="center"/>
          </w:tcPr>
          <w:p w14:paraId="50D28F7D">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实施期限</w:t>
            </w:r>
          </w:p>
        </w:tc>
        <w:tc>
          <w:tcPr>
            <w:tcW w:w="1274" w:type="dxa"/>
            <w:vAlign w:val="center"/>
          </w:tcPr>
          <w:p w14:paraId="115FEC3D">
            <w:pPr>
              <w:keepNext w:val="0"/>
              <w:keepLines w:val="0"/>
              <w:widowControl/>
              <w:suppressLineNumbers w:val="0"/>
              <w:jc w:val="center"/>
              <w:rPr>
                <w:sz w:val="24"/>
                <w:szCs w:val="24"/>
              </w:rPr>
            </w:pPr>
            <w:r>
              <w:rPr>
                <w:rFonts w:ascii="微软雅黑" w:hAnsi="微软雅黑" w:eastAsia="微软雅黑" w:cs="微软雅黑"/>
                <w:b/>
                <w:bCs/>
                <w:color w:val="080808"/>
                <w:kern w:val="0"/>
                <w:sz w:val="24"/>
                <w:szCs w:val="24"/>
                <w:lang w:val="en-US" w:eastAsia="zh-CN" w:bidi="ar"/>
              </w:rPr>
              <w:t>预期效果</w:t>
            </w:r>
          </w:p>
          <w:p w14:paraId="7B479D5D">
            <w:pPr>
              <w:jc w:val="center"/>
              <w:rPr>
                <w:sz w:val="24"/>
                <w:szCs w:val="24"/>
                <w:vertAlign w:val="baseline"/>
              </w:rPr>
            </w:pPr>
          </w:p>
        </w:tc>
      </w:tr>
      <w:tr w14:paraId="0A9D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706" w:type="dxa"/>
            <w:vAlign w:val="center"/>
          </w:tcPr>
          <w:p w14:paraId="324C6DFC">
            <w:pPr>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1243" w:type="dxa"/>
            <w:vAlign w:val="center"/>
          </w:tcPr>
          <w:p w14:paraId="64F77FBC">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kern w:val="0"/>
                <w:sz w:val="21"/>
                <w:szCs w:val="21"/>
              </w:rPr>
            </w:pPr>
            <w:r>
              <w:rPr>
                <w:rFonts w:hint="eastAsia" w:ascii="宋体" w:hAnsi="宋体" w:cs="宋体"/>
                <w:kern w:val="0"/>
                <w:sz w:val="21"/>
                <w:szCs w:val="21"/>
                <w:lang w:val="en-US" w:eastAsia="zh-CN"/>
              </w:rPr>
              <w:t>老梨树普查</w:t>
            </w:r>
          </w:p>
        </w:tc>
        <w:tc>
          <w:tcPr>
            <w:tcW w:w="2672" w:type="dxa"/>
            <w:vAlign w:val="center"/>
          </w:tcPr>
          <w:p w14:paraId="74304B17">
            <w:pPr>
              <w:keepNext w:val="0"/>
              <w:keepLines w:val="0"/>
              <w:pageBreakBefore w:val="0"/>
              <w:kinsoku/>
              <w:wordWrap/>
              <w:overflowPunct/>
              <w:topLinePunct w:val="0"/>
              <w:autoSpaceDE/>
              <w:autoSpaceDN/>
              <w:bidi w:val="0"/>
              <w:adjustRightInd/>
              <w:snapToGrid/>
              <w:jc w:val="center"/>
              <w:textAlignment w:val="auto"/>
              <w:rPr>
                <w:rFonts w:hint="eastAsia" w:asciiTheme="minorHAnsi" w:hAnsiTheme="minorHAnsi" w:eastAsiaTheme="minorEastAsia" w:cstheme="minorBidi"/>
                <w:kern w:val="2"/>
                <w:sz w:val="21"/>
                <w:szCs w:val="24"/>
                <w:lang w:val="en-US" w:eastAsia="zh-CN" w:bidi="ar-SA"/>
              </w:rPr>
            </w:pPr>
            <w:r>
              <w:rPr>
                <w:rFonts w:hint="eastAsia"/>
                <w:sz w:val="21"/>
                <w:szCs w:val="21"/>
                <w:vertAlign w:val="baseline"/>
                <w:lang w:val="en-US" w:eastAsia="zh-CN"/>
              </w:rPr>
              <w:t>围绕老黄梨树的位置、数量、树龄、树形、花期、产量、生长现状、健康状况等要素，在全市黄梨种植分布区尤其是核心保护区进行全面摸底调查。</w:t>
            </w:r>
          </w:p>
        </w:tc>
        <w:tc>
          <w:tcPr>
            <w:tcW w:w="1229" w:type="dxa"/>
            <w:vAlign w:val="center"/>
          </w:tcPr>
          <w:p w14:paraId="3D2572F4">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高平市林业局</w:t>
            </w:r>
          </w:p>
        </w:tc>
        <w:tc>
          <w:tcPr>
            <w:tcW w:w="1275" w:type="dxa"/>
            <w:vAlign w:val="center"/>
          </w:tcPr>
          <w:p w14:paraId="6EBCB2A9">
            <w:pPr>
              <w:keepNext w:val="0"/>
              <w:keepLines w:val="0"/>
              <w:pageBreakBefore w:val="0"/>
              <w:kinsoku/>
              <w:wordWrap/>
              <w:overflowPunct/>
              <w:topLinePunct w:val="0"/>
              <w:autoSpaceDE/>
              <w:autoSpaceDN/>
              <w:bidi w:val="0"/>
              <w:adjustRightInd/>
              <w:snapToGrid/>
              <w:jc w:val="center"/>
              <w:textAlignment w:val="auto"/>
              <w:rPr>
                <w:rFonts w:hint="eastAsia"/>
                <w:lang w:val="en-US" w:eastAsia="zh-CN"/>
              </w:rPr>
            </w:pPr>
            <w:r>
              <w:rPr>
                <w:rFonts w:hint="eastAsia" w:ascii="宋体" w:hAnsi="宋体" w:cs="宋体"/>
                <w:kern w:val="0"/>
                <w:sz w:val="21"/>
                <w:szCs w:val="21"/>
                <w:lang w:val="en-US" w:eastAsia="zh-CN"/>
              </w:rPr>
              <w:t>高平市农业农村局，各乡（镇、办事处）</w:t>
            </w:r>
          </w:p>
        </w:tc>
        <w:tc>
          <w:tcPr>
            <w:tcW w:w="930" w:type="dxa"/>
            <w:vAlign w:val="center"/>
          </w:tcPr>
          <w:p w14:paraId="65839427">
            <w:pPr>
              <w:keepNext w:val="0"/>
              <w:keepLines w:val="0"/>
              <w:pageBreakBefore w:val="0"/>
              <w:kinsoku/>
              <w:wordWrap/>
              <w:overflowPunct/>
              <w:topLinePunct w:val="0"/>
              <w:autoSpaceDE/>
              <w:autoSpaceDN/>
              <w:bidi w:val="0"/>
              <w:adjustRightInd/>
              <w:snapToGrid/>
              <w:jc w:val="center"/>
              <w:textAlignment w:val="auto"/>
              <w:rPr>
                <w:rFonts w:hint="eastAsia"/>
                <w:sz w:val="21"/>
                <w:szCs w:val="21"/>
                <w:vertAlign w:val="baseline"/>
                <w:lang w:val="en-US" w:eastAsia="zh-CN"/>
              </w:rPr>
            </w:pPr>
            <w:r>
              <w:rPr>
                <w:rFonts w:hint="eastAsia"/>
                <w:sz w:val="21"/>
                <w:szCs w:val="21"/>
                <w:vertAlign w:val="baseline"/>
                <w:lang w:val="en-US" w:eastAsia="zh-CN"/>
              </w:rPr>
              <w:t>人员投入</w:t>
            </w:r>
          </w:p>
          <w:p w14:paraId="2DB982B7">
            <w:pPr>
              <w:keepNext w:val="0"/>
              <w:keepLines w:val="0"/>
              <w:pageBreakBefore w:val="0"/>
              <w:kinsoku/>
              <w:wordWrap/>
              <w:overflowPunct/>
              <w:topLinePunct w:val="0"/>
              <w:autoSpaceDE/>
              <w:autoSpaceDN/>
              <w:bidi w:val="0"/>
              <w:adjustRightInd/>
              <w:snapToGrid/>
              <w:jc w:val="center"/>
              <w:textAlignment w:val="auto"/>
              <w:rPr>
                <w:rFonts w:hint="default"/>
                <w:lang w:val="en-US" w:eastAsia="zh-CN"/>
              </w:rPr>
            </w:pPr>
            <w:r>
              <w:rPr>
                <w:rFonts w:hint="eastAsia"/>
                <w:sz w:val="21"/>
                <w:szCs w:val="21"/>
                <w:vertAlign w:val="baseline"/>
                <w:lang w:val="en-US" w:eastAsia="zh-CN"/>
              </w:rPr>
              <w:t>时间投入</w:t>
            </w:r>
          </w:p>
        </w:tc>
        <w:tc>
          <w:tcPr>
            <w:tcW w:w="840" w:type="dxa"/>
            <w:vAlign w:val="center"/>
          </w:tcPr>
          <w:p w14:paraId="05520548">
            <w:pPr>
              <w:keepNext w:val="0"/>
              <w:keepLines w:val="0"/>
              <w:pageBreakBefore w:val="0"/>
              <w:kinsoku/>
              <w:wordWrap/>
              <w:overflowPunct/>
              <w:topLinePunct w:val="0"/>
              <w:autoSpaceDE/>
              <w:autoSpaceDN/>
              <w:bidi w:val="0"/>
              <w:adjustRightInd/>
              <w:snapToGrid/>
              <w:jc w:val="center"/>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0</w:t>
            </w:r>
          </w:p>
        </w:tc>
        <w:tc>
          <w:tcPr>
            <w:tcW w:w="916" w:type="dxa"/>
            <w:vAlign w:val="center"/>
          </w:tcPr>
          <w:p w14:paraId="2FE49C39">
            <w:pPr>
              <w:keepNext w:val="0"/>
              <w:keepLines w:val="0"/>
              <w:pageBreakBefore w:val="0"/>
              <w:kinsoku/>
              <w:wordWrap/>
              <w:overflowPunct/>
              <w:topLinePunct w:val="0"/>
              <w:autoSpaceDE/>
              <w:autoSpaceDN/>
              <w:bidi w:val="0"/>
              <w:adjustRightInd/>
              <w:snapToGrid/>
              <w:jc w:val="center"/>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2026年-2028年</w:t>
            </w:r>
          </w:p>
        </w:tc>
        <w:tc>
          <w:tcPr>
            <w:tcW w:w="1274" w:type="dxa"/>
            <w:vAlign w:val="center"/>
          </w:tcPr>
          <w:p w14:paraId="0CB6A2DA">
            <w:pPr>
              <w:keepNext w:val="0"/>
              <w:keepLines w:val="0"/>
              <w:pageBreakBefore w:val="0"/>
              <w:kinsoku/>
              <w:wordWrap/>
              <w:overflowPunct/>
              <w:topLinePunct w:val="0"/>
              <w:autoSpaceDE/>
              <w:autoSpaceDN/>
              <w:bidi w:val="0"/>
              <w:adjustRightInd/>
              <w:snapToGrid/>
              <w:jc w:val="center"/>
              <w:textAlignment w:val="auto"/>
              <w:rPr>
                <w:sz w:val="21"/>
                <w:szCs w:val="21"/>
                <w:vertAlign w:val="baseline"/>
              </w:rPr>
            </w:pPr>
            <w:r>
              <w:rPr>
                <w:rFonts w:hint="eastAsia" w:ascii="宋体" w:hAnsi="宋体" w:cs="宋体"/>
                <w:kern w:val="0"/>
                <w:sz w:val="21"/>
                <w:szCs w:val="21"/>
                <w:lang w:val="en-US" w:eastAsia="zh-CN"/>
              </w:rPr>
              <w:t>形成完整的黄梨栽培系统保护档案</w:t>
            </w:r>
          </w:p>
        </w:tc>
      </w:tr>
      <w:tr w14:paraId="1BC6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06" w:type="dxa"/>
            <w:vAlign w:val="center"/>
          </w:tcPr>
          <w:p w14:paraId="5004F80C">
            <w:pPr>
              <w:jc w:val="center"/>
              <w:rPr>
                <w:rFonts w:hint="eastAsia" w:eastAsiaTheme="minorEastAsia"/>
                <w:sz w:val="21"/>
                <w:szCs w:val="21"/>
                <w:vertAlign w:val="baseline"/>
                <w:lang w:val="en-US" w:eastAsia="zh-CN"/>
              </w:rPr>
            </w:pPr>
            <w:r>
              <w:rPr>
                <w:rFonts w:hint="eastAsia"/>
                <w:sz w:val="21"/>
                <w:szCs w:val="21"/>
                <w:vertAlign w:val="baseline"/>
                <w:lang w:val="en-US" w:eastAsia="zh-CN"/>
              </w:rPr>
              <w:t>2</w:t>
            </w:r>
          </w:p>
        </w:tc>
        <w:tc>
          <w:tcPr>
            <w:tcW w:w="1243" w:type="dxa"/>
            <w:vAlign w:val="center"/>
          </w:tcPr>
          <w:p w14:paraId="25422A2A">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kern w:val="0"/>
                <w:sz w:val="21"/>
                <w:szCs w:val="21"/>
              </w:rPr>
            </w:pPr>
            <w:r>
              <w:rPr>
                <w:rFonts w:hint="eastAsia" w:ascii="宋体" w:hAnsi="宋体" w:cs="宋体"/>
                <w:kern w:val="0"/>
                <w:sz w:val="21"/>
                <w:szCs w:val="21"/>
                <w:lang w:val="en-US" w:eastAsia="zh-CN"/>
              </w:rPr>
              <w:t>黄梨文化传承人培养工程</w:t>
            </w:r>
          </w:p>
        </w:tc>
        <w:tc>
          <w:tcPr>
            <w:tcW w:w="2672" w:type="dxa"/>
            <w:vAlign w:val="center"/>
          </w:tcPr>
          <w:p w14:paraId="0A35F548">
            <w:pPr>
              <w:keepNext w:val="0"/>
              <w:keepLines w:val="0"/>
              <w:pageBreakBefore w:val="0"/>
              <w:kinsoku/>
              <w:wordWrap/>
              <w:overflowPunct/>
              <w:topLinePunct w:val="0"/>
              <w:autoSpaceDE/>
              <w:autoSpaceDN/>
              <w:bidi w:val="0"/>
              <w:adjustRightInd/>
              <w:snapToGrid/>
              <w:jc w:val="center"/>
              <w:textAlignment w:val="auto"/>
              <w:rPr>
                <w:sz w:val="21"/>
                <w:szCs w:val="21"/>
                <w:vertAlign w:val="baseline"/>
              </w:rPr>
            </w:pPr>
            <w:r>
              <w:rPr>
                <w:rFonts w:hint="eastAsia"/>
                <w:sz w:val="21"/>
                <w:szCs w:val="21"/>
                <w:vertAlign w:val="baseline"/>
                <w:lang w:val="en-US" w:eastAsia="zh-CN"/>
              </w:rPr>
              <w:t xml:space="preserve">聚焦传统农技培养、研究梨风俗 、挖掘梨文化，遴选一批梨文化爱好者，担负梨文化传承职责。 </w:t>
            </w:r>
          </w:p>
        </w:tc>
        <w:tc>
          <w:tcPr>
            <w:tcW w:w="1229" w:type="dxa"/>
            <w:vAlign w:val="center"/>
          </w:tcPr>
          <w:p w14:paraId="23117017">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高平市人力资源和社会保障局</w:t>
            </w:r>
          </w:p>
        </w:tc>
        <w:tc>
          <w:tcPr>
            <w:tcW w:w="1275" w:type="dxa"/>
            <w:vAlign w:val="center"/>
          </w:tcPr>
          <w:p w14:paraId="39E01721">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各乡（镇、办事处）</w:t>
            </w:r>
          </w:p>
        </w:tc>
        <w:tc>
          <w:tcPr>
            <w:tcW w:w="930" w:type="dxa"/>
            <w:vAlign w:val="center"/>
          </w:tcPr>
          <w:p w14:paraId="1D1C4DAF">
            <w:pPr>
              <w:keepNext w:val="0"/>
              <w:keepLines w:val="0"/>
              <w:pageBreakBefore w:val="0"/>
              <w:kinsoku/>
              <w:wordWrap/>
              <w:overflowPunct/>
              <w:topLinePunct w:val="0"/>
              <w:autoSpaceDE/>
              <w:autoSpaceDN/>
              <w:bidi w:val="0"/>
              <w:adjustRightInd/>
              <w:snapToGrid/>
              <w:jc w:val="center"/>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人员投入</w:t>
            </w:r>
          </w:p>
        </w:tc>
        <w:tc>
          <w:tcPr>
            <w:tcW w:w="840" w:type="dxa"/>
            <w:vAlign w:val="center"/>
          </w:tcPr>
          <w:p w14:paraId="43002623">
            <w:pPr>
              <w:keepNext w:val="0"/>
              <w:keepLines w:val="0"/>
              <w:pageBreakBefore w:val="0"/>
              <w:kinsoku/>
              <w:wordWrap/>
              <w:overflowPunct/>
              <w:topLinePunct w:val="0"/>
              <w:autoSpaceDE/>
              <w:autoSpaceDN/>
              <w:bidi w:val="0"/>
              <w:adjustRightInd/>
              <w:snapToGrid/>
              <w:jc w:val="center"/>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10万元</w:t>
            </w:r>
          </w:p>
        </w:tc>
        <w:tc>
          <w:tcPr>
            <w:tcW w:w="916" w:type="dxa"/>
            <w:vAlign w:val="center"/>
          </w:tcPr>
          <w:p w14:paraId="6A3C3699">
            <w:pPr>
              <w:keepNext w:val="0"/>
              <w:keepLines w:val="0"/>
              <w:pageBreakBefore w:val="0"/>
              <w:kinsoku/>
              <w:wordWrap/>
              <w:overflowPunct/>
              <w:topLinePunct w:val="0"/>
              <w:autoSpaceDE/>
              <w:autoSpaceDN/>
              <w:bidi w:val="0"/>
              <w:adjustRightInd/>
              <w:snapToGrid/>
              <w:jc w:val="center"/>
              <w:textAlignment w:val="auto"/>
              <w:rPr>
                <w:sz w:val="21"/>
                <w:szCs w:val="21"/>
                <w:vertAlign w:val="baseline"/>
              </w:rPr>
            </w:pPr>
            <w:r>
              <w:rPr>
                <w:rFonts w:hint="eastAsia"/>
                <w:sz w:val="21"/>
                <w:szCs w:val="21"/>
                <w:vertAlign w:val="baseline"/>
                <w:lang w:val="en-US" w:eastAsia="zh-CN"/>
              </w:rPr>
              <w:t>2026年-2028年</w:t>
            </w:r>
          </w:p>
        </w:tc>
        <w:tc>
          <w:tcPr>
            <w:tcW w:w="1274" w:type="dxa"/>
            <w:vAlign w:val="center"/>
          </w:tcPr>
          <w:p w14:paraId="44A59D87">
            <w:pPr>
              <w:keepNext w:val="0"/>
              <w:keepLines w:val="0"/>
              <w:pageBreakBefore w:val="0"/>
              <w:kinsoku/>
              <w:wordWrap/>
              <w:overflowPunct/>
              <w:topLinePunct w:val="0"/>
              <w:autoSpaceDE/>
              <w:autoSpaceDN/>
              <w:bidi w:val="0"/>
              <w:adjustRightInd/>
              <w:snapToGrid/>
              <w:jc w:val="center"/>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培养一批黄梨文化爱好者，培育2名高素质非遗传承人</w:t>
            </w:r>
          </w:p>
        </w:tc>
      </w:tr>
      <w:tr w14:paraId="7747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06" w:type="dxa"/>
            <w:vAlign w:val="center"/>
          </w:tcPr>
          <w:p w14:paraId="1942708A">
            <w:pPr>
              <w:jc w:val="center"/>
              <w:rPr>
                <w:rFonts w:hint="eastAsia" w:eastAsiaTheme="minorEastAsia"/>
                <w:sz w:val="21"/>
                <w:szCs w:val="21"/>
                <w:vertAlign w:val="baseline"/>
                <w:lang w:val="en-US" w:eastAsia="zh-CN"/>
              </w:rPr>
            </w:pPr>
            <w:r>
              <w:rPr>
                <w:rFonts w:hint="eastAsia"/>
                <w:sz w:val="21"/>
                <w:szCs w:val="21"/>
                <w:vertAlign w:val="baseline"/>
                <w:lang w:val="en-US" w:eastAsia="zh-CN"/>
              </w:rPr>
              <w:t>3</w:t>
            </w:r>
          </w:p>
        </w:tc>
        <w:tc>
          <w:tcPr>
            <w:tcW w:w="1243" w:type="dxa"/>
            <w:vAlign w:val="center"/>
          </w:tcPr>
          <w:p w14:paraId="5014A28F">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kern w:val="0"/>
                <w:sz w:val="21"/>
                <w:szCs w:val="21"/>
              </w:rPr>
            </w:pPr>
            <w:r>
              <w:rPr>
                <w:rFonts w:hint="eastAsia" w:ascii="宋体" w:hAnsi="宋体" w:cs="宋体"/>
                <w:kern w:val="0"/>
                <w:sz w:val="21"/>
                <w:szCs w:val="21"/>
                <w:lang w:val="en-US" w:eastAsia="zh-CN"/>
              </w:rPr>
              <w:t>老梨树规范化管理项目</w:t>
            </w:r>
          </w:p>
        </w:tc>
        <w:tc>
          <w:tcPr>
            <w:tcW w:w="2672" w:type="dxa"/>
            <w:vAlign w:val="center"/>
          </w:tcPr>
          <w:p w14:paraId="7FCDF302">
            <w:pPr>
              <w:keepNext w:val="0"/>
              <w:keepLines w:val="0"/>
              <w:pageBreakBefore w:val="0"/>
              <w:kinsoku/>
              <w:wordWrap/>
              <w:overflowPunct/>
              <w:topLinePunct w:val="0"/>
              <w:autoSpaceDE/>
              <w:autoSpaceDN/>
              <w:bidi w:val="0"/>
              <w:adjustRightInd/>
              <w:snapToGrid/>
              <w:jc w:val="center"/>
              <w:textAlignment w:val="auto"/>
              <w:rPr>
                <w:sz w:val="21"/>
                <w:szCs w:val="21"/>
                <w:vertAlign w:val="baseline"/>
              </w:rPr>
            </w:pPr>
            <w:r>
              <w:rPr>
                <w:rFonts w:hint="eastAsia"/>
                <w:sz w:val="21"/>
                <w:szCs w:val="21"/>
                <w:vertAlign w:val="baseline"/>
                <w:lang w:val="en-US" w:eastAsia="zh-CN"/>
              </w:rPr>
              <w:t>通过刮树皮、整形修剪、病虫害防治等技术措施，</w:t>
            </w:r>
            <w:r>
              <w:rPr>
                <w:rFonts w:hint="eastAsia"/>
                <w:sz w:val="21"/>
                <w:szCs w:val="21"/>
                <w:vertAlign w:val="baseline"/>
              </w:rPr>
              <w:t>培养健壮枝组，恢复树体树势。</w:t>
            </w:r>
          </w:p>
        </w:tc>
        <w:tc>
          <w:tcPr>
            <w:tcW w:w="1229" w:type="dxa"/>
            <w:vAlign w:val="center"/>
          </w:tcPr>
          <w:p w14:paraId="51588A0B">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高平市农业农村局</w:t>
            </w:r>
          </w:p>
        </w:tc>
        <w:tc>
          <w:tcPr>
            <w:tcW w:w="1275" w:type="dxa"/>
            <w:vAlign w:val="center"/>
          </w:tcPr>
          <w:p w14:paraId="64D0EC61">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寺庄镇、野川镇、神农镇等乡镇</w:t>
            </w:r>
          </w:p>
        </w:tc>
        <w:tc>
          <w:tcPr>
            <w:tcW w:w="930" w:type="dxa"/>
            <w:vAlign w:val="center"/>
          </w:tcPr>
          <w:p w14:paraId="0DA62C75">
            <w:pPr>
              <w:keepNext w:val="0"/>
              <w:keepLines w:val="0"/>
              <w:pageBreakBefore w:val="0"/>
              <w:kinsoku/>
              <w:wordWrap/>
              <w:overflowPunct/>
              <w:topLinePunct w:val="0"/>
              <w:autoSpaceDE/>
              <w:autoSpaceDN/>
              <w:bidi w:val="0"/>
              <w:adjustRightInd/>
              <w:snapToGrid/>
              <w:jc w:val="center"/>
              <w:textAlignment w:val="auto"/>
              <w:rPr>
                <w:rFonts w:hint="eastAsia"/>
                <w:sz w:val="21"/>
                <w:szCs w:val="21"/>
                <w:vertAlign w:val="baseline"/>
                <w:lang w:val="en-US" w:eastAsia="zh-CN"/>
              </w:rPr>
            </w:pPr>
            <w:r>
              <w:rPr>
                <w:rFonts w:hint="eastAsia"/>
                <w:sz w:val="21"/>
                <w:szCs w:val="21"/>
                <w:vertAlign w:val="baseline"/>
                <w:lang w:val="en-US" w:eastAsia="zh-CN"/>
              </w:rPr>
              <w:t>人员投入</w:t>
            </w:r>
          </w:p>
          <w:p w14:paraId="35EDE83D">
            <w:pPr>
              <w:keepNext w:val="0"/>
              <w:keepLines w:val="0"/>
              <w:pageBreakBefore w:val="0"/>
              <w:kinsoku/>
              <w:wordWrap/>
              <w:overflowPunct/>
              <w:topLinePunct w:val="0"/>
              <w:autoSpaceDE/>
              <w:autoSpaceDN/>
              <w:bidi w:val="0"/>
              <w:adjustRightInd/>
              <w:snapToGrid/>
              <w:jc w:val="center"/>
              <w:textAlignment w:val="auto"/>
              <w:rPr>
                <w:rFonts w:hint="default"/>
                <w:sz w:val="21"/>
                <w:szCs w:val="21"/>
                <w:vertAlign w:val="baseline"/>
                <w:lang w:val="en-US" w:eastAsia="zh-CN"/>
              </w:rPr>
            </w:pPr>
            <w:r>
              <w:rPr>
                <w:rFonts w:hint="eastAsia"/>
                <w:sz w:val="21"/>
                <w:szCs w:val="21"/>
                <w:vertAlign w:val="baseline"/>
                <w:lang w:val="en-US" w:eastAsia="zh-CN"/>
              </w:rPr>
              <w:t>资金投入</w:t>
            </w:r>
          </w:p>
        </w:tc>
        <w:tc>
          <w:tcPr>
            <w:tcW w:w="840" w:type="dxa"/>
            <w:vAlign w:val="center"/>
          </w:tcPr>
          <w:p w14:paraId="33C44D2D">
            <w:pPr>
              <w:keepNext w:val="0"/>
              <w:keepLines w:val="0"/>
              <w:pageBreakBefore w:val="0"/>
              <w:kinsoku/>
              <w:wordWrap/>
              <w:overflowPunct/>
              <w:topLinePunct w:val="0"/>
              <w:autoSpaceDE/>
              <w:autoSpaceDN/>
              <w:bidi w:val="0"/>
              <w:adjustRightInd/>
              <w:snapToGrid/>
              <w:jc w:val="center"/>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50万元</w:t>
            </w:r>
          </w:p>
        </w:tc>
        <w:tc>
          <w:tcPr>
            <w:tcW w:w="916" w:type="dxa"/>
            <w:vAlign w:val="center"/>
          </w:tcPr>
          <w:p w14:paraId="0D908B98">
            <w:pPr>
              <w:keepNext w:val="0"/>
              <w:keepLines w:val="0"/>
              <w:pageBreakBefore w:val="0"/>
              <w:kinsoku/>
              <w:wordWrap/>
              <w:overflowPunct/>
              <w:topLinePunct w:val="0"/>
              <w:autoSpaceDE/>
              <w:autoSpaceDN/>
              <w:bidi w:val="0"/>
              <w:adjustRightInd/>
              <w:snapToGrid/>
              <w:jc w:val="center"/>
              <w:textAlignment w:val="auto"/>
              <w:rPr>
                <w:sz w:val="21"/>
                <w:szCs w:val="21"/>
                <w:vertAlign w:val="baseline"/>
              </w:rPr>
            </w:pPr>
            <w:r>
              <w:rPr>
                <w:rFonts w:hint="eastAsia"/>
                <w:sz w:val="21"/>
                <w:szCs w:val="21"/>
                <w:vertAlign w:val="baseline"/>
                <w:lang w:val="en-US" w:eastAsia="zh-CN"/>
              </w:rPr>
              <w:t>2026年-2028年</w:t>
            </w:r>
          </w:p>
        </w:tc>
        <w:tc>
          <w:tcPr>
            <w:tcW w:w="1274" w:type="dxa"/>
            <w:vAlign w:val="center"/>
          </w:tcPr>
          <w:p w14:paraId="0814E1F9">
            <w:pPr>
              <w:keepNext w:val="0"/>
              <w:keepLines w:val="0"/>
              <w:pageBreakBefore w:val="0"/>
              <w:kinsoku/>
              <w:wordWrap/>
              <w:overflowPunct/>
              <w:topLinePunct w:val="0"/>
              <w:autoSpaceDE/>
              <w:autoSpaceDN/>
              <w:bidi w:val="0"/>
              <w:adjustRightInd/>
              <w:snapToGrid/>
              <w:jc w:val="center"/>
              <w:textAlignment w:val="auto"/>
              <w:rPr>
                <w:rFonts w:hint="default"/>
                <w:sz w:val="21"/>
                <w:szCs w:val="21"/>
                <w:vertAlign w:val="baseline"/>
                <w:lang w:val="en-US"/>
              </w:rPr>
            </w:pPr>
            <w:r>
              <w:rPr>
                <w:rFonts w:hint="eastAsia" w:ascii="宋体" w:hAnsi="宋体" w:cs="宋体"/>
                <w:kern w:val="0"/>
                <w:sz w:val="21"/>
                <w:szCs w:val="21"/>
                <w:lang w:val="en-US" w:eastAsia="zh-CN"/>
              </w:rPr>
              <w:t>完成老梨树规范化管理500亩（5000棵）</w:t>
            </w:r>
          </w:p>
        </w:tc>
      </w:tr>
      <w:tr w14:paraId="06F9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06" w:type="dxa"/>
            <w:vAlign w:val="center"/>
          </w:tcPr>
          <w:p w14:paraId="5DFA01F3">
            <w:pPr>
              <w:jc w:val="center"/>
              <w:rPr>
                <w:rFonts w:hint="eastAsia" w:eastAsiaTheme="minorEastAsia"/>
                <w:sz w:val="21"/>
                <w:szCs w:val="21"/>
                <w:vertAlign w:val="baseline"/>
                <w:lang w:val="en-US" w:eastAsia="zh-CN"/>
              </w:rPr>
            </w:pPr>
            <w:r>
              <w:rPr>
                <w:rFonts w:hint="eastAsia"/>
                <w:sz w:val="21"/>
                <w:szCs w:val="21"/>
                <w:vertAlign w:val="baseline"/>
                <w:lang w:val="en-US" w:eastAsia="zh-CN"/>
              </w:rPr>
              <w:t>4</w:t>
            </w:r>
          </w:p>
        </w:tc>
        <w:tc>
          <w:tcPr>
            <w:tcW w:w="1243" w:type="dxa"/>
            <w:vAlign w:val="center"/>
          </w:tcPr>
          <w:p w14:paraId="2B16DA8D">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kern w:val="0"/>
                <w:sz w:val="21"/>
                <w:szCs w:val="21"/>
              </w:rPr>
            </w:pPr>
            <w:r>
              <w:rPr>
                <w:rFonts w:hint="eastAsia" w:ascii="宋体" w:hAnsi="宋体" w:cs="宋体"/>
                <w:kern w:val="0"/>
                <w:sz w:val="21"/>
                <w:szCs w:val="21"/>
                <w:lang w:val="en-US" w:eastAsia="zh-CN"/>
              </w:rPr>
              <w:t>黄梨标准化种植园建设工程</w:t>
            </w:r>
          </w:p>
        </w:tc>
        <w:tc>
          <w:tcPr>
            <w:tcW w:w="2672" w:type="dxa"/>
            <w:vAlign w:val="center"/>
          </w:tcPr>
          <w:p w14:paraId="4650C3A7">
            <w:pPr>
              <w:keepNext w:val="0"/>
              <w:keepLines w:val="0"/>
              <w:pageBreakBefore w:val="0"/>
              <w:kinsoku/>
              <w:wordWrap/>
              <w:overflowPunct/>
              <w:topLinePunct w:val="0"/>
              <w:autoSpaceDE/>
              <w:autoSpaceDN/>
              <w:bidi w:val="0"/>
              <w:adjustRightInd/>
              <w:snapToGrid/>
              <w:jc w:val="center"/>
              <w:textAlignment w:val="auto"/>
              <w:rPr>
                <w:sz w:val="21"/>
                <w:szCs w:val="21"/>
                <w:vertAlign w:val="baseline"/>
              </w:rPr>
            </w:pPr>
            <w:r>
              <w:rPr>
                <w:rFonts w:hint="eastAsia"/>
                <w:sz w:val="21"/>
                <w:szCs w:val="21"/>
                <w:vertAlign w:val="baseline"/>
                <w:lang w:eastAsia="zh-CN"/>
              </w:rPr>
              <w:t>在基础设施硬件建设上，在梨园</w:t>
            </w:r>
            <w:r>
              <w:rPr>
                <w:rFonts w:hint="eastAsia"/>
                <w:sz w:val="21"/>
                <w:szCs w:val="21"/>
                <w:vertAlign w:val="baseline"/>
              </w:rPr>
              <w:t>实施</w:t>
            </w:r>
            <w:r>
              <w:rPr>
                <w:rFonts w:hint="eastAsia"/>
                <w:sz w:val="21"/>
                <w:szCs w:val="21"/>
                <w:vertAlign w:val="baseline"/>
                <w:lang w:val="en-US" w:eastAsia="zh-CN"/>
              </w:rPr>
              <w:t>土肥水</w:t>
            </w:r>
            <w:r>
              <w:rPr>
                <w:rFonts w:hint="eastAsia"/>
                <w:sz w:val="21"/>
                <w:szCs w:val="21"/>
                <w:vertAlign w:val="baseline"/>
                <w:lang w:eastAsia="zh-CN"/>
              </w:rPr>
              <w:t>管理</w:t>
            </w:r>
            <w:r>
              <w:rPr>
                <w:rFonts w:hint="eastAsia"/>
                <w:sz w:val="21"/>
                <w:szCs w:val="21"/>
                <w:vertAlign w:val="baseline"/>
              </w:rPr>
              <w:t>、病虫害</w:t>
            </w:r>
            <w:r>
              <w:rPr>
                <w:rFonts w:hint="eastAsia"/>
                <w:sz w:val="21"/>
                <w:szCs w:val="21"/>
                <w:vertAlign w:val="baseline"/>
                <w:lang w:eastAsia="zh-CN"/>
              </w:rPr>
              <w:t>综合</w:t>
            </w:r>
            <w:r>
              <w:rPr>
                <w:rFonts w:hint="eastAsia"/>
                <w:sz w:val="21"/>
                <w:szCs w:val="21"/>
                <w:vertAlign w:val="baseline"/>
              </w:rPr>
              <w:t>防控、树形</w:t>
            </w:r>
            <w:r>
              <w:rPr>
                <w:rFonts w:hint="eastAsia"/>
                <w:sz w:val="21"/>
                <w:szCs w:val="21"/>
                <w:vertAlign w:val="baseline"/>
                <w:lang w:eastAsia="zh-CN"/>
              </w:rPr>
              <w:t>总体塑</w:t>
            </w:r>
            <w:r>
              <w:rPr>
                <w:rFonts w:hint="eastAsia"/>
                <w:sz w:val="21"/>
                <w:szCs w:val="21"/>
                <w:vertAlign w:val="baseline"/>
              </w:rPr>
              <w:t>造和花果</w:t>
            </w:r>
            <w:r>
              <w:rPr>
                <w:rFonts w:hint="eastAsia"/>
                <w:sz w:val="21"/>
                <w:szCs w:val="21"/>
                <w:vertAlign w:val="baseline"/>
                <w:lang w:eastAsia="zh-CN"/>
              </w:rPr>
              <w:t>培育方面实行</w:t>
            </w:r>
            <w:r>
              <w:rPr>
                <w:rFonts w:hint="eastAsia"/>
                <w:sz w:val="21"/>
                <w:szCs w:val="21"/>
                <w:vertAlign w:val="baseline"/>
              </w:rPr>
              <w:t>精细</w:t>
            </w:r>
            <w:r>
              <w:rPr>
                <w:rFonts w:hint="eastAsia"/>
                <w:sz w:val="21"/>
                <w:szCs w:val="21"/>
                <w:vertAlign w:val="baseline"/>
                <w:lang w:eastAsia="zh-CN"/>
              </w:rPr>
              <w:t>化</w:t>
            </w:r>
            <w:r>
              <w:rPr>
                <w:rFonts w:hint="eastAsia"/>
                <w:sz w:val="21"/>
                <w:szCs w:val="21"/>
                <w:vertAlign w:val="baseline"/>
              </w:rPr>
              <w:t>管理。</w:t>
            </w:r>
          </w:p>
        </w:tc>
        <w:tc>
          <w:tcPr>
            <w:tcW w:w="1229" w:type="dxa"/>
            <w:vAlign w:val="center"/>
          </w:tcPr>
          <w:p w14:paraId="1161B660">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高平市农业农村局</w:t>
            </w:r>
          </w:p>
        </w:tc>
        <w:tc>
          <w:tcPr>
            <w:tcW w:w="1275" w:type="dxa"/>
            <w:vAlign w:val="center"/>
          </w:tcPr>
          <w:p w14:paraId="1B01689B">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有关乡镇</w:t>
            </w:r>
          </w:p>
        </w:tc>
        <w:tc>
          <w:tcPr>
            <w:tcW w:w="930" w:type="dxa"/>
            <w:vAlign w:val="center"/>
          </w:tcPr>
          <w:p w14:paraId="3760DAC7">
            <w:pPr>
              <w:keepNext w:val="0"/>
              <w:keepLines w:val="0"/>
              <w:pageBreakBefore w:val="0"/>
              <w:kinsoku/>
              <w:wordWrap/>
              <w:overflowPunct/>
              <w:topLinePunct w:val="0"/>
              <w:autoSpaceDE/>
              <w:autoSpaceDN/>
              <w:bidi w:val="0"/>
              <w:adjustRightInd/>
              <w:snapToGrid/>
              <w:jc w:val="center"/>
              <w:textAlignment w:val="auto"/>
              <w:rPr>
                <w:rFonts w:hint="default"/>
                <w:sz w:val="21"/>
                <w:szCs w:val="21"/>
                <w:vertAlign w:val="baseline"/>
                <w:lang w:val="en-US" w:eastAsia="zh-CN"/>
              </w:rPr>
            </w:pPr>
            <w:r>
              <w:rPr>
                <w:rFonts w:hint="eastAsia"/>
                <w:sz w:val="21"/>
                <w:szCs w:val="21"/>
                <w:vertAlign w:val="baseline"/>
                <w:lang w:val="en-US" w:eastAsia="zh-CN"/>
              </w:rPr>
              <w:t>资金投入</w:t>
            </w:r>
          </w:p>
        </w:tc>
        <w:tc>
          <w:tcPr>
            <w:tcW w:w="840" w:type="dxa"/>
            <w:vAlign w:val="center"/>
          </w:tcPr>
          <w:p w14:paraId="69C1A9EE">
            <w:pPr>
              <w:keepNext w:val="0"/>
              <w:keepLines w:val="0"/>
              <w:pageBreakBefore w:val="0"/>
              <w:kinsoku/>
              <w:wordWrap/>
              <w:overflowPunct/>
              <w:topLinePunct w:val="0"/>
              <w:autoSpaceDE/>
              <w:autoSpaceDN/>
              <w:bidi w:val="0"/>
              <w:adjustRightInd/>
              <w:snapToGrid/>
              <w:jc w:val="center"/>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50万元</w:t>
            </w:r>
          </w:p>
        </w:tc>
        <w:tc>
          <w:tcPr>
            <w:tcW w:w="916" w:type="dxa"/>
            <w:vAlign w:val="center"/>
          </w:tcPr>
          <w:p w14:paraId="6F8461D4">
            <w:pPr>
              <w:keepNext w:val="0"/>
              <w:keepLines w:val="0"/>
              <w:pageBreakBefore w:val="0"/>
              <w:kinsoku/>
              <w:wordWrap/>
              <w:overflowPunct/>
              <w:topLinePunct w:val="0"/>
              <w:autoSpaceDE/>
              <w:autoSpaceDN/>
              <w:bidi w:val="0"/>
              <w:adjustRightInd/>
              <w:snapToGrid/>
              <w:jc w:val="center"/>
              <w:textAlignment w:val="auto"/>
              <w:rPr>
                <w:sz w:val="21"/>
                <w:szCs w:val="21"/>
                <w:vertAlign w:val="baseline"/>
              </w:rPr>
            </w:pPr>
            <w:r>
              <w:rPr>
                <w:rFonts w:hint="eastAsia"/>
                <w:sz w:val="21"/>
                <w:szCs w:val="21"/>
                <w:vertAlign w:val="baseline"/>
                <w:lang w:val="en-US" w:eastAsia="zh-CN"/>
              </w:rPr>
              <w:t>2026年-2028年</w:t>
            </w:r>
          </w:p>
        </w:tc>
        <w:tc>
          <w:tcPr>
            <w:tcW w:w="1274" w:type="dxa"/>
            <w:vAlign w:val="center"/>
          </w:tcPr>
          <w:p w14:paraId="103758F0">
            <w:pPr>
              <w:keepNext w:val="0"/>
              <w:keepLines w:val="0"/>
              <w:pageBreakBefore w:val="0"/>
              <w:kinsoku/>
              <w:wordWrap/>
              <w:overflowPunct/>
              <w:topLinePunct w:val="0"/>
              <w:autoSpaceDE/>
              <w:autoSpaceDN/>
              <w:bidi w:val="0"/>
              <w:adjustRightInd/>
              <w:snapToGrid/>
              <w:jc w:val="center"/>
              <w:textAlignment w:val="auto"/>
              <w:rPr>
                <w:sz w:val="21"/>
                <w:szCs w:val="21"/>
                <w:vertAlign w:val="baseline"/>
              </w:rPr>
            </w:pPr>
            <w:r>
              <w:rPr>
                <w:rFonts w:hint="eastAsia" w:ascii="宋体" w:hAnsi="宋体" w:cs="宋体"/>
                <w:kern w:val="0"/>
                <w:sz w:val="21"/>
                <w:szCs w:val="21"/>
                <w:lang w:val="en-US" w:eastAsia="zh-CN"/>
              </w:rPr>
              <w:t>建设5个标准化黄梨标准化生产园</w:t>
            </w:r>
          </w:p>
        </w:tc>
      </w:tr>
      <w:tr w14:paraId="66FA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06" w:type="dxa"/>
            <w:vAlign w:val="center"/>
          </w:tcPr>
          <w:p w14:paraId="13B61418">
            <w:pPr>
              <w:jc w:val="center"/>
              <w:rPr>
                <w:rFonts w:hint="eastAsia" w:eastAsiaTheme="minorEastAsia"/>
                <w:sz w:val="21"/>
                <w:szCs w:val="21"/>
                <w:vertAlign w:val="baseline"/>
                <w:lang w:val="en-US" w:eastAsia="zh-CN"/>
              </w:rPr>
            </w:pPr>
            <w:r>
              <w:rPr>
                <w:rFonts w:hint="eastAsia"/>
                <w:sz w:val="21"/>
                <w:szCs w:val="21"/>
                <w:vertAlign w:val="baseline"/>
                <w:lang w:val="en-US" w:eastAsia="zh-CN"/>
              </w:rPr>
              <w:t>5</w:t>
            </w:r>
          </w:p>
        </w:tc>
        <w:tc>
          <w:tcPr>
            <w:tcW w:w="1243" w:type="dxa"/>
            <w:vAlign w:val="center"/>
          </w:tcPr>
          <w:p w14:paraId="183C99D9">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kern w:val="0"/>
                <w:sz w:val="21"/>
                <w:szCs w:val="21"/>
              </w:rPr>
            </w:pPr>
            <w:r>
              <w:rPr>
                <w:rFonts w:hint="eastAsia" w:ascii="宋体" w:hAnsi="宋体" w:cs="宋体"/>
                <w:kern w:val="0"/>
                <w:sz w:val="21"/>
                <w:szCs w:val="21"/>
                <w:lang w:val="en-US" w:eastAsia="zh-CN"/>
              </w:rPr>
              <w:t>黄梨健康饮品深加工项目</w:t>
            </w:r>
          </w:p>
        </w:tc>
        <w:tc>
          <w:tcPr>
            <w:tcW w:w="2672" w:type="dxa"/>
            <w:vAlign w:val="center"/>
          </w:tcPr>
          <w:p w14:paraId="6E83E5D3">
            <w:pPr>
              <w:keepNext w:val="0"/>
              <w:keepLines w:val="0"/>
              <w:pageBreakBefore w:val="0"/>
              <w:kinsoku/>
              <w:wordWrap/>
              <w:overflowPunct/>
              <w:topLinePunct w:val="0"/>
              <w:autoSpaceDE/>
              <w:autoSpaceDN/>
              <w:bidi w:val="0"/>
              <w:adjustRightInd/>
              <w:snapToGrid/>
              <w:jc w:val="center"/>
              <w:textAlignment w:val="auto"/>
              <w:rPr>
                <w:rFonts w:hint="default"/>
                <w:lang w:val="en-US" w:eastAsia="zh-CN"/>
              </w:rPr>
            </w:pPr>
            <w:r>
              <w:rPr>
                <w:rFonts w:hint="eastAsia"/>
                <w:sz w:val="21"/>
                <w:szCs w:val="21"/>
                <w:vertAlign w:val="baseline"/>
                <w:lang w:val="en-US" w:eastAsia="zh-CN"/>
              </w:rPr>
              <w:t>加工生产线正式投产，推出黄梨浓缩汁、NFC冷冻液、梨膏、黄梨饮品、IP黄梨水等新型黄梨深加工产品。</w:t>
            </w:r>
          </w:p>
        </w:tc>
        <w:tc>
          <w:tcPr>
            <w:tcW w:w="1229" w:type="dxa"/>
            <w:vAlign w:val="center"/>
          </w:tcPr>
          <w:p w14:paraId="44DE39C6">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高平市农业农村局</w:t>
            </w:r>
          </w:p>
        </w:tc>
        <w:tc>
          <w:tcPr>
            <w:tcW w:w="1275" w:type="dxa"/>
            <w:vAlign w:val="center"/>
          </w:tcPr>
          <w:p w14:paraId="3E166B60">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高平市五谷丰农业农村投资集团有限公司</w:t>
            </w:r>
          </w:p>
        </w:tc>
        <w:tc>
          <w:tcPr>
            <w:tcW w:w="930" w:type="dxa"/>
            <w:vAlign w:val="center"/>
          </w:tcPr>
          <w:p w14:paraId="34B56613">
            <w:pPr>
              <w:keepNext w:val="0"/>
              <w:keepLines w:val="0"/>
              <w:pageBreakBefore w:val="0"/>
              <w:kinsoku/>
              <w:wordWrap/>
              <w:overflowPunct/>
              <w:topLinePunct w:val="0"/>
              <w:autoSpaceDE/>
              <w:autoSpaceDN/>
              <w:bidi w:val="0"/>
              <w:adjustRightInd/>
              <w:snapToGrid/>
              <w:jc w:val="center"/>
              <w:textAlignment w:val="auto"/>
              <w:rPr>
                <w:rFonts w:hint="eastAsia"/>
                <w:sz w:val="21"/>
                <w:szCs w:val="21"/>
                <w:vertAlign w:val="baseline"/>
                <w:lang w:val="en-US" w:eastAsia="zh-CN"/>
              </w:rPr>
            </w:pPr>
            <w:r>
              <w:rPr>
                <w:rFonts w:hint="eastAsia"/>
                <w:sz w:val="21"/>
                <w:szCs w:val="21"/>
                <w:vertAlign w:val="baseline"/>
                <w:lang w:val="en-US" w:eastAsia="zh-CN"/>
              </w:rPr>
              <w:t>资金投入</w:t>
            </w:r>
          </w:p>
          <w:p w14:paraId="03D1422A">
            <w:pPr>
              <w:keepNext w:val="0"/>
              <w:keepLines w:val="0"/>
              <w:pageBreakBefore w:val="0"/>
              <w:kinsoku/>
              <w:wordWrap/>
              <w:overflowPunct/>
              <w:topLinePunct w:val="0"/>
              <w:autoSpaceDE/>
              <w:autoSpaceDN/>
              <w:bidi w:val="0"/>
              <w:adjustRightInd/>
              <w:snapToGrid/>
              <w:jc w:val="center"/>
              <w:textAlignment w:val="auto"/>
              <w:rPr>
                <w:rFonts w:hint="default"/>
                <w:sz w:val="21"/>
                <w:szCs w:val="21"/>
                <w:vertAlign w:val="baseline"/>
                <w:lang w:val="en-US" w:eastAsia="zh-CN"/>
              </w:rPr>
            </w:pPr>
          </w:p>
        </w:tc>
        <w:tc>
          <w:tcPr>
            <w:tcW w:w="840" w:type="dxa"/>
            <w:vAlign w:val="center"/>
          </w:tcPr>
          <w:p w14:paraId="4D15F238">
            <w:pPr>
              <w:keepNext w:val="0"/>
              <w:keepLines w:val="0"/>
              <w:pageBreakBefore w:val="0"/>
              <w:kinsoku/>
              <w:wordWrap/>
              <w:overflowPunct/>
              <w:topLinePunct w:val="0"/>
              <w:autoSpaceDE/>
              <w:autoSpaceDN/>
              <w:bidi w:val="0"/>
              <w:adjustRightInd/>
              <w:snapToGrid/>
              <w:jc w:val="center"/>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200万元</w:t>
            </w:r>
          </w:p>
        </w:tc>
        <w:tc>
          <w:tcPr>
            <w:tcW w:w="916" w:type="dxa"/>
            <w:vAlign w:val="center"/>
          </w:tcPr>
          <w:p w14:paraId="5805D6E4">
            <w:pPr>
              <w:keepNext w:val="0"/>
              <w:keepLines w:val="0"/>
              <w:pageBreakBefore w:val="0"/>
              <w:kinsoku/>
              <w:wordWrap/>
              <w:overflowPunct/>
              <w:topLinePunct w:val="0"/>
              <w:autoSpaceDE/>
              <w:autoSpaceDN/>
              <w:bidi w:val="0"/>
              <w:adjustRightInd/>
              <w:snapToGrid/>
              <w:jc w:val="center"/>
              <w:textAlignment w:val="auto"/>
              <w:rPr>
                <w:sz w:val="21"/>
                <w:szCs w:val="21"/>
                <w:vertAlign w:val="baseline"/>
              </w:rPr>
            </w:pPr>
            <w:r>
              <w:rPr>
                <w:rFonts w:hint="eastAsia"/>
                <w:sz w:val="21"/>
                <w:szCs w:val="21"/>
                <w:vertAlign w:val="baseline"/>
                <w:lang w:val="en-US" w:eastAsia="zh-CN"/>
              </w:rPr>
              <w:t>2026年-2028年</w:t>
            </w:r>
          </w:p>
        </w:tc>
        <w:tc>
          <w:tcPr>
            <w:tcW w:w="1274" w:type="dxa"/>
            <w:vAlign w:val="center"/>
          </w:tcPr>
          <w:p w14:paraId="7BDB77E4">
            <w:pPr>
              <w:keepNext w:val="0"/>
              <w:keepLines w:val="0"/>
              <w:pageBreakBefore w:val="0"/>
              <w:kinsoku/>
              <w:wordWrap/>
              <w:overflowPunct/>
              <w:topLinePunct w:val="0"/>
              <w:autoSpaceDE/>
              <w:autoSpaceDN/>
              <w:bidi w:val="0"/>
              <w:adjustRightInd/>
              <w:snapToGrid/>
              <w:jc w:val="center"/>
              <w:textAlignment w:val="auto"/>
              <w:rPr>
                <w:sz w:val="21"/>
                <w:szCs w:val="21"/>
                <w:vertAlign w:val="baseline"/>
              </w:rPr>
            </w:pPr>
            <w:r>
              <w:rPr>
                <w:rFonts w:hint="eastAsia"/>
                <w:sz w:val="21"/>
                <w:szCs w:val="21"/>
                <w:vertAlign w:val="baseline"/>
                <w:lang w:val="en-US" w:eastAsia="zh-CN"/>
              </w:rPr>
              <w:t>推出新产品并稳定市场</w:t>
            </w:r>
          </w:p>
        </w:tc>
      </w:tr>
      <w:tr w14:paraId="2260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06" w:type="dxa"/>
            <w:vAlign w:val="center"/>
          </w:tcPr>
          <w:p w14:paraId="23AB12A0">
            <w:pPr>
              <w:jc w:val="center"/>
              <w:rPr>
                <w:rFonts w:hint="eastAsia" w:eastAsiaTheme="minorEastAsia"/>
                <w:sz w:val="21"/>
                <w:szCs w:val="21"/>
                <w:vertAlign w:val="baseline"/>
                <w:lang w:val="en-US" w:eastAsia="zh-CN"/>
              </w:rPr>
            </w:pPr>
            <w:r>
              <w:rPr>
                <w:rFonts w:hint="eastAsia"/>
                <w:sz w:val="21"/>
                <w:szCs w:val="21"/>
                <w:vertAlign w:val="baseline"/>
                <w:lang w:val="en-US" w:eastAsia="zh-CN"/>
              </w:rPr>
              <w:t>6</w:t>
            </w:r>
          </w:p>
        </w:tc>
        <w:tc>
          <w:tcPr>
            <w:tcW w:w="1243" w:type="dxa"/>
            <w:vAlign w:val="center"/>
          </w:tcPr>
          <w:p w14:paraId="33F567A6">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kern w:val="0"/>
                <w:sz w:val="21"/>
                <w:szCs w:val="21"/>
              </w:rPr>
            </w:pPr>
            <w:r>
              <w:rPr>
                <w:rFonts w:hint="eastAsia" w:ascii="宋体" w:hAnsi="宋体" w:cs="宋体"/>
                <w:kern w:val="0"/>
                <w:sz w:val="21"/>
                <w:szCs w:val="21"/>
                <w:lang w:val="en-US" w:eastAsia="zh-CN"/>
              </w:rPr>
              <w:t>“高平黄梨”区域品牌建设</w:t>
            </w:r>
          </w:p>
        </w:tc>
        <w:tc>
          <w:tcPr>
            <w:tcW w:w="2672" w:type="dxa"/>
            <w:vAlign w:val="center"/>
          </w:tcPr>
          <w:p w14:paraId="6004A4FA">
            <w:pPr>
              <w:keepNext w:val="0"/>
              <w:keepLines w:val="0"/>
              <w:pageBreakBefore w:val="0"/>
              <w:kinsoku/>
              <w:wordWrap/>
              <w:overflowPunct/>
              <w:topLinePunct w:val="0"/>
              <w:autoSpaceDE/>
              <w:autoSpaceDN/>
              <w:bidi w:val="0"/>
              <w:adjustRightInd/>
              <w:snapToGrid/>
              <w:jc w:val="center"/>
              <w:textAlignment w:val="auto"/>
              <w:rPr>
                <w:sz w:val="21"/>
                <w:szCs w:val="21"/>
                <w:vertAlign w:val="baseline"/>
              </w:rPr>
            </w:pPr>
            <w:r>
              <w:rPr>
                <w:rFonts w:hint="eastAsia"/>
                <w:sz w:val="21"/>
                <w:szCs w:val="21"/>
                <w:vertAlign w:val="baseline"/>
              </w:rPr>
              <w:t>加强与品牌建设和运营公司合作，进行形象设计、广告语创作以及包装设计等，同时建立技术规范标准，实现质量体系认证，通过举办梨花节、采摘节和丰收节等途</w:t>
            </w:r>
            <w:r>
              <w:rPr>
                <w:rFonts w:hint="eastAsia"/>
                <w:sz w:val="21"/>
                <w:szCs w:val="21"/>
                <w:vertAlign w:val="baseline"/>
                <w:lang w:val="en-US" w:eastAsia="zh-CN"/>
              </w:rPr>
              <w:t>径进行宣传推介。</w:t>
            </w:r>
          </w:p>
        </w:tc>
        <w:tc>
          <w:tcPr>
            <w:tcW w:w="1229" w:type="dxa"/>
            <w:vAlign w:val="center"/>
          </w:tcPr>
          <w:p w14:paraId="327ED061">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高平市农业农村局</w:t>
            </w:r>
          </w:p>
        </w:tc>
        <w:tc>
          <w:tcPr>
            <w:tcW w:w="1275" w:type="dxa"/>
            <w:vAlign w:val="center"/>
          </w:tcPr>
          <w:p w14:paraId="54D4F744">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zh-CN" w:eastAsia="zh-CN"/>
              </w:rPr>
              <w:t>高平市五谷丰农业农村投资集团有限公司</w:t>
            </w:r>
            <w:r>
              <w:rPr>
                <w:rFonts w:hint="eastAsia" w:ascii="宋体" w:hAnsi="宋体" w:cs="宋体"/>
                <w:kern w:val="0"/>
                <w:sz w:val="21"/>
                <w:szCs w:val="21"/>
                <w:lang w:val="en-US" w:eastAsia="zh-CN"/>
              </w:rPr>
              <w:t>等</w:t>
            </w:r>
          </w:p>
        </w:tc>
        <w:tc>
          <w:tcPr>
            <w:tcW w:w="930" w:type="dxa"/>
            <w:vAlign w:val="center"/>
          </w:tcPr>
          <w:p w14:paraId="715BEAEB">
            <w:pPr>
              <w:keepNext w:val="0"/>
              <w:keepLines w:val="0"/>
              <w:pageBreakBefore w:val="0"/>
              <w:kinsoku/>
              <w:wordWrap/>
              <w:overflowPunct/>
              <w:topLinePunct w:val="0"/>
              <w:autoSpaceDE/>
              <w:autoSpaceDN/>
              <w:bidi w:val="0"/>
              <w:adjustRightInd/>
              <w:snapToGrid/>
              <w:jc w:val="center"/>
              <w:textAlignment w:val="auto"/>
              <w:rPr>
                <w:rFonts w:hint="default"/>
                <w:sz w:val="21"/>
                <w:szCs w:val="21"/>
                <w:vertAlign w:val="baseline"/>
                <w:lang w:val="en-US"/>
              </w:rPr>
            </w:pPr>
            <w:r>
              <w:rPr>
                <w:rFonts w:hint="eastAsia"/>
                <w:sz w:val="21"/>
                <w:szCs w:val="21"/>
                <w:vertAlign w:val="baseline"/>
                <w:lang w:val="en-US" w:eastAsia="zh-CN"/>
              </w:rPr>
              <w:t>资金投入</w:t>
            </w:r>
          </w:p>
        </w:tc>
        <w:tc>
          <w:tcPr>
            <w:tcW w:w="840" w:type="dxa"/>
            <w:vAlign w:val="center"/>
          </w:tcPr>
          <w:p w14:paraId="7B538D02">
            <w:pPr>
              <w:keepNext w:val="0"/>
              <w:keepLines w:val="0"/>
              <w:pageBreakBefore w:val="0"/>
              <w:kinsoku/>
              <w:wordWrap/>
              <w:overflowPunct/>
              <w:topLinePunct w:val="0"/>
              <w:autoSpaceDE/>
              <w:autoSpaceDN/>
              <w:bidi w:val="0"/>
              <w:adjustRightInd/>
              <w:snapToGrid/>
              <w:jc w:val="center"/>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30万元</w:t>
            </w:r>
          </w:p>
        </w:tc>
        <w:tc>
          <w:tcPr>
            <w:tcW w:w="916" w:type="dxa"/>
            <w:vAlign w:val="center"/>
          </w:tcPr>
          <w:p w14:paraId="6092964C">
            <w:pPr>
              <w:keepNext w:val="0"/>
              <w:keepLines w:val="0"/>
              <w:pageBreakBefore w:val="0"/>
              <w:kinsoku/>
              <w:wordWrap/>
              <w:overflowPunct/>
              <w:topLinePunct w:val="0"/>
              <w:autoSpaceDE/>
              <w:autoSpaceDN/>
              <w:bidi w:val="0"/>
              <w:adjustRightInd/>
              <w:snapToGrid/>
              <w:jc w:val="center"/>
              <w:textAlignment w:val="auto"/>
              <w:rPr>
                <w:sz w:val="21"/>
                <w:szCs w:val="21"/>
                <w:vertAlign w:val="baseline"/>
              </w:rPr>
            </w:pPr>
            <w:r>
              <w:rPr>
                <w:rFonts w:hint="eastAsia"/>
                <w:sz w:val="21"/>
                <w:szCs w:val="21"/>
                <w:vertAlign w:val="baseline"/>
                <w:lang w:val="en-US" w:eastAsia="zh-CN"/>
              </w:rPr>
              <w:t>2026年-2028年</w:t>
            </w:r>
          </w:p>
        </w:tc>
        <w:tc>
          <w:tcPr>
            <w:tcW w:w="1274" w:type="dxa"/>
            <w:vAlign w:val="center"/>
          </w:tcPr>
          <w:p w14:paraId="47AC365B">
            <w:pPr>
              <w:keepNext w:val="0"/>
              <w:keepLines w:val="0"/>
              <w:pageBreakBefore w:val="0"/>
              <w:kinsoku/>
              <w:wordWrap/>
              <w:overflowPunct/>
              <w:topLinePunct w:val="0"/>
              <w:autoSpaceDE/>
              <w:autoSpaceDN/>
              <w:bidi w:val="0"/>
              <w:adjustRightInd/>
              <w:snapToGrid/>
              <w:jc w:val="center"/>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提高高平黄梨知名度</w:t>
            </w:r>
          </w:p>
        </w:tc>
      </w:tr>
      <w:tr w14:paraId="66B2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06" w:type="dxa"/>
            <w:vAlign w:val="center"/>
          </w:tcPr>
          <w:p w14:paraId="69C2A539">
            <w:pPr>
              <w:jc w:val="center"/>
              <w:rPr>
                <w:rFonts w:hint="eastAsia" w:eastAsiaTheme="minorEastAsia"/>
                <w:sz w:val="21"/>
                <w:szCs w:val="21"/>
                <w:vertAlign w:val="baseline"/>
                <w:lang w:val="en-US" w:eastAsia="zh-CN"/>
              </w:rPr>
            </w:pPr>
            <w:r>
              <w:rPr>
                <w:rFonts w:hint="eastAsia"/>
                <w:sz w:val="21"/>
                <w:szCs w:val="21"/>
                <w:vertAlign w:val="baseline"/>
                <w:lang w:val="en-US" w:eastAsia="zh-CN"/>
              </w:rPr>
              <w:t>7</w:t>
            </w:r>
          </w:p>
        </w:tc>
        <w:tc>
          <w:tcPr>
            <w:tcW w:w="1243" w:type="dxa"/>
            <w:vAlign w:val="center"/>
          </w:tcPr>
          <w:p w14:paraId="7C724E6C">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果农技术培训工程</w:t>
            </w:r>
          </w:p>
        </w:tc>
        <w:tc>
          <w:tcPr>
            <w:tcW w:w="2672" w:type="dxa"/>
            <w:vAlign w:val="center"/>
          </w:tcPr>
          <w:p w14:paraId="3984F1DC">
            <w:pPr>
              <w:keepNext w:val="0"/>
              <w:keepLines w:val="0"/>
              <w:pageBreakBefore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依托黄梨产业发展研究院以及中国农科院果树研究所的技术优势，结合高素质农民培训，对现有专业技术人才、农民技术人员进行系统培训。</w:t>
            </w:r>
          </w:p>
        </w:tc>
        <w:tc>
          <w:tcPr>
            <w:tcW w:w="1229" w:type="dxa"/>
            <w:vAlign w:val="center"/>
          </w:tcPr>
          <w:p w14:paraId="434A880D">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高平市农业农村局</w:t>
            </w:r>
          </w:p>
        </w:tc>
        <w:tc>
          <w:tcPr>
            <w:tcW w:w="1275" w:type="dxa"/>
            <w:vAlign w:val="center"/>
          </w:tcPr>
          <w:p w14:paraId="7BF02563">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高平市国营良种场、高平市黄梨协会等</w:t>
            </w:r>
          </w:p>
        </w:tc>
        <w:tc>
          <w:tcPr>
            <w:tcW w:w="930" w:type="dxa"/>
            <w:vAlign w:val="center"/>
          </w:tcPr>
          <w:p w14:paraId="5E96E542">
            <w:pPr>
              <w:keepNext w:val="0"/>
              <w:keepLines w:val="0"/>
              <w:pageBreakBefore w:val="0"/>
              <w:kinsoku/>
              <w:wordWrap/>
              <w:overflowPunct/>
              <w:topLinePunct w:val="0"/>
              <w:autoSpaceDE/>
              <w:autoSpaceDN/>
              <w:bidi w:val="0"/>
              <w:adjustRightInd/>
              <w:snapToGrid/>
              <w:jc w:val="center"/>
              <w:textAlignment w:val="auto"/>
              <w:rPr>
                <w:rFonts w:hint="eastAsia"/>
                <w:sz w:val="21"/>
                <w:szCs w:val="21"/>
                <w:vertAlign w:val="baseline"/>
                <w:lang w:val="en-US" w:eastAsia="zh-CN"/>
              </w:rPr>
            </w:pPr>
            <w:r>
              <w:rPr>
                <w:rFonts w:hint="eastAsia"/>
                <w:sz w:val="21"/>
                <w:szCs w:val="21"/>
                <w:vertAlign w:val="baseline"/>
                <w:lang w:val="en-US" w:eastAsia="zh-CN"/>
              </w:rPr>
              <w:t>资金投入</w:t>
            </w:r>
          </w:p>
          <w:p w14:paraId="4038EF64">
            <w:pPr>
              <w:keepNext w:val="0"/>
              <w:keepLines w:val="0"/>
              <w:pageBreakBefore w:val="0"/>
              <w:kinsoku/>
              <w:wordWrap/>
              <w:overflowPunct/>
              <w:topLinePunct w:val="0"/>
              <w:autoSpaceDE/>
              <w:autoSpaceDN/>
              <w:bidi w:val="0"/>
              <w:adjustRightInd/>
              <w:snapToGrid/>
              <w:jc w:val="center"/>
              <w:textAlignment w:val="auto"/>
              <w:rPr>
                <w:rFonts w:hint="default"/>
                <w:sz w:val="21"/>
                <w:szCs w:val="21"/>
                <w:vertAlign w:val="baseline"/>
                <w:lang w:val="en-US" w:eastAsia="zh-CN"/>
              </w:rPr>
            </w:pPr>
            <w:r>
              <w:rPr>
                <w:rFonts w:hint="eastAsia"/>
                <w:sz w:val="21"/>
                <w:szCs w:val="21"/>
                <w:vertAlign w:val="baseline"/>
                <w:lang w:val="en-US" w:eastAsia="zh-CN"/>
              </w:rPr>
              <w:t>人员投入</w:t>
            </w:r>
          </w:p>
        </w:tc>
        <w:tc>
          <w:tcPr>
            <w:tcW w:w="840" w:type="dxa"/>
            <w:vAlign w:val="center"/>
          </w:tcPr>
          <w:p w14:paraId="644BC9BB">
            <w:pPr>
              <w:keepNext w:val="0"/>
              <w:keepLines w:val="0"/>
              <w:pageBreakBefore w:val="0"/>
              <w:kinsoku/>
              <w:wordWrap/>
              <w:overflowPunct/>
              <w:topLinePunct w:val="0"/>
              <w:autoSpaceDE/>
              <w:autoSpaceDN/>
              <w:bidi w:val="0"/>
              <w:adjustRightInd/>
              <w:snapToGrid/>
              <w:jc w:val="center"/>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20万元</w:t>
            </w:r>
          </w:p>
        </w:tc>
        <w:tc>
          <w:tcPr>
            <w:tcW w:w="916" w:type="dxa"/>
            <w:vAlign w:val="center"/>
          </w:tcPr>
          <w:p w14:paraId="5DE452EF">
            <w:pPr>
              <w:keepNext w:val="0"/>
              <w:keepLines w:val="0"/>
              <w:pageBreakBefore w:val="0"/>
              <w:kinsoku/>
              <w:wordWrap/>
              <w:overflowPunct/>
              <w:topLinePunct w:val="0"/>
              <w:autoSpaceDE/>
              <w:autoSpaceDN/>
              <w:bidi w:val="0"/>
              <w:adjustRightInd/>
              <w:snapToGrid/>
              <w:jc w:val="center"/>
              <w:textAlignment w:val="auto"/>
              <w:rPr>
                <w:sz w:val="21"/>
                <w:szCs w:val="21"/>
                <w:vertAlign w:val="baseline"/>
              </w:rPr>
            </w:pPr>
            <w:r>
              <w:rPr>
                <w:rFonts w:hint="eastAsia"/>
                <w:sz w:val="21"/>
                <w:szCs w:val="21"/>
                <w:vertAlign w:val="baseline"/>
                <w:lang w:val="en-US" w:eastAsia="zh-CN"/>
              </w:rPr>
              <w:t>2026年-2028年</w:t>
            </w:r>
          </w:p>
        </w:tc>
        <w:tc>
          <w:tcPr>
            <w:tcW w:w="1274" w:type="dxa"/>
            <w:vAlign w:val="center"/>
          </w:tcPr>
          <w:p w14:paraId="02EA5D0F">
            <w:pPr>
              <w:keepNext w:val="0"/>
              <w:keepLines w:val="0"/>
              <w:pageBreakBefore w:val="0"/>
              <w:kinsoku/>
              <w:wordWrap/>
              <w:overflowPunct/>
              <w:topLinePunct w:val="0"/>
              <w:autoSpaceDE/>
              <w:autoSpaceDN/>
              <w:bidi w:val="0"/>
              <w:adjustRightInd/>
              <w:snapToGrid/>
              <w:jc w:val="center"/>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果农技能提升</w:t>
            </w:r>
          </w:p>
        </w:tc>
      </w:tr>
    </w:tbl>
    <w:p w14:paraId="428192AB">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 w:hAnsi="楷体" w:eastAsia="楷体" w:cs="楷体"/>
          <w:sz w:val="32"/>
          <w:szCs w:val="32"/>
          <w:lang w:val="en-US" w:eastAsia="zh-CN"/>
        </w:rPr>
      </w:pPr>
      <w:bookmarkStart w:id="33" w:name="_Toc18310"/>
      <w:r>
        <w:rPr>
          <w:rFonts w:hint="eastAsia" w:ascii="楷体" w:hAnsi="楷体" w:eastAsia="楷体" w:cs="楷体"/>
          <w:sz w:val="32"/>
          <w:szCs w:val="32"/>
          <w:lang w:val="en-US" w:eastAsia="zh-CN"/>
        </w:rPr>
        <w:t>（五）拟出台政策文件清单</w:t>
      </w:r>
      <w:bookmarkEnd w:id="33"/>
      <w:r>
        <w:rPr>
          <w:rFonts w:hint="eastAsia" w:ascii="楷体" w:hAnsi="楷体" w:eastAsia="楷体" w:cs="楷体"/>
          <w:sz w:val="32"/>
          <w:szCs w:val="32"/>
          <w:lang w:val="en-US" w:eastAsia="zh-CN"/>
        </w:rPr>
        <w:t xml:space="preserve"> </w:t>
      </w:r>
    </w:p>
    <w:tbl>
      <w:tblPr>
        <w:tblStyle w:val="18"/>
        <w:tblW w:w="11100" w:type="dxa"/>
        <w:tblInd w:w="-1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251"/>
        <w:gridCol w:w="3030"/>
        <w:gridCol w:w="1425"/>
        <w:gridCol w:w="1530"/>
        <w:gridCol w:w="2009"/>
      </w:tblGrid>
      <w:tr w14:paraId="50E3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39598440">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序号</w:t>
            </w:r>
          </w:p>
        </w:tc>
        <w:tc>
          <w:tcPr>
            <w:tcW w:w="2251" w:type="dxa"/>
            <w:vAlign w:val="center"/>
          </w:tcPr>
          <w:p w14:paraId="6CE16E82">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文件名称</w:t>
            </w:r>
          </w:p>
        </w:tc>
        <w:tc>
          <w:tcPr>
            <w:tcW w:w="3030" w:type="dxa"/>
            <w:vAlign w:val="center"/>
          </w:tcPr>
          <w:p w14:paraId="2A0DBF4B">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主要内容</w:t>
            </w:r>
          </w:p>
        </w:tc>
        <w:tc>
          <w:tcPr>
            <w:tcW w:w="1425" w:type="dxa"/>
            <w:vAlign w:val="center"/>
          </w:tcPr>
          <w:p w14:paraId="6EE52535">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牵头单位</w:t>
            </w:r>
          </w:p>
        </w:tc>
        <w:tc>
          <w:tcPr>
            <w:tcW w:w="1530" w:type="dxa"/>
            <w:vAlign w:val="center"/>
          </w:tcPr>
          <w:p w14:paraId="289FDA9D">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实施时间</w:t>
            </w:r>
          </w:p>
        </w:tc>
        <w:tc>
          <w:tcPr>
            <w:tcW w:w="2009" w:type="dxa"/>
            <w:vAlign w:val="center"/>
          </w:tcPr>
          <w:p w14:paraId="32156FF0">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预期效果</w:t>
            </w:r>
          </w:p>
        </w:tc>
      </w:tr>
      <w:tr w14:paraId="1BF9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55" w:type="dxa"/>
            <w:vAlign w:val="center"/>
          </w:tcPr>
          <w:p w14:paraId="2D3F523D">
            <w:pPr>
              <w:jc w:val="center"/>
              <w:rPr>
                <w:rFonts w:hint="eastAsia" w:eastAsiaTheme="minorEastAsia"/>
                <w:sz w:val="24"/>
                <w:szCs w:val="24"/>
                <w:vertAlign w:val="baseline"/>
                <w:lang w:val="en-US" w:eastAsia="zh-CN"/>
              </w:rPr>
            </w:pPr>
            <w:r>
              <w:rPr>
                <w:rFonts w:hint="eastAsia"/>
                <w:sz w:val="24"/>
                <w:szCs w:val="24"/>
                <w:vertAlign w:val="baseline"/>
                <w:lang w:val="en-US" w:eastAsia="zh-CN"/>
              </w:rPr>
              <w:t>1</w:t>
            </w:r>
          </w:p>
        </w:tc>
        <w:tc>
          <w:tcPr>
            <w:tcW w:w="2251" w:type="dxa"/>
            <w:vAlign w:val="center"/>
          </w:tcPr>
          <w:p w14:paraId="16364012">
            <w:pPr>
              <w:jc w:val="center"/>
              <w:rPr>
                <w:rFonts w:hint="default" w:eastAsiaTheme="minorEastAsia"/>
                <w:sz w:val="24"/>
                <w:szCs w:val="24"/>
                <w:vertAlign w:val="baseline"/>
                <w:lang w:val="en-US" w:eastAsia="zh-CN"/>
              </w:rPr>
            </w:pPr>
            <w:r>
              <w:rPr>
                <w:rFonts w:hint="eastAsia"/>
                <w:sz w:val="24"/>
                <w:szCs w:val="24"/>
                <w:vertAlign w:val="baseline"/>
                <w:lang w:val="en-US" w:eastAsia="zh-CN"/>
              </w:rPr>
              <w:t>黄梨产业奖补政策</w:t>
            </w:r>
          </w:p>
        </w:tc>
        <w:tc>
          <w:tcPr>
            <w:tcW w:w="3030" w:type="dxa"/>
            <w:vAlign w:val="center"/>
          </w:tcPr>
          <w:p w14:paraId="46D7D1D4">
            <w:pPr>
              <w:jc w:val="center"/>
              <w:rPr>
                <w:sz w:val="24"/>
                <w:szCs w:val="24"/>
                <w:vertAlign w:val="baseline"/>
              </w:rPr>
            </w:pPr>
            <w:r>
              <w:rPr>
                <w:rFonts w:hint="eastAsia"/>
                <w:sz w:val="24"/>
                <w:szCs w:val="24"/>
                <w:vertAlign w:val="baseline"/>
                <w:lang w:val="en-US" w:eastAsia="zh-CN"/>
              </w:rPr>
              <w:t>对新发展果园标准化建设、对老黄梨树进行更新复壮和规范化管理、低效果园地利用、新品种选育、果品质量提升</w:t>
            </w:r>
          </w:p>
        </w:tc>
        <w:tc>
          <w:tcPr>
            <w:tcW w:w="1425" w:type="dxa"/>
            <w:vAlign w:val="center"/>
          </w:tcPr>
          <w:p w14:paraId="502A9C27">
            <w:pPr>
              <w:jc w:val="center"/>
              <w:rPr>
                <w:rFonts w:hint="default" w:eastAsiaTheme="minorEastAsia"/>
                <w:sz w:val="24"/>
                <w:szCs w:val="24"/>
                <w:vertAlign w:val="baseline"/>
                <w:lang w:val="en-US" w:eastAsia="zh-CN"/>
              </w:rPr>
            </w:pPr>
            <w:r>
              <w:rPr>
                <w:rFonts w:hint="eastAsia"/>
                <w:sz w:val="24"/>
                <w:szCs w:val="24"/>
                <w:vertAlign w:val="baseline"/>
                <w:lang w:val="en-US" w:eastAsia="zh-CN"/>
              </w:rPr>
              <w:t>高平市农业农村局</w:t>
            </w:r>
          </w:p>
        </w:tc>
        <w:tc>
          <w:tcPr>
            <w:tcW w:w="1530" w:type="dxa"/>
            <w:vAlign w:val="center"/>
          </w:tcPr>
          <w:p w14:paraId="765B0D24">
            <w:pPr>
              <w:jc w:val="center"/>
              <w:rPr>
                <w:rFonts w:hint="default" w:eastAsiaTheme="minorEastAsia"/>
                <w:sz w:val="24"/>
                <w:szCs w:val="24"/>
                <w:vertAlign w:val="baseline"/>
                <w:lang w:val="en-US" w:eastAsia="zh-CN"/>
              </w:rPr>
            </w:pPr>
            <w:r>
              <w:rPr>
                <w:rFonts w:hint="eastAsia"/>
                <w:sz w:val="24"/>
                <w:szCs w:val="24"/>
                <w:vertAlign w:val="baseline"/>
                <w:lang w:val="en-US" w:eastAsia="zh-CN"/>
              </w:rPr>
              <w:t>2026年-2028年</w:t>
            </w:r>
          </w:p>
        </w:tc>
        <w:tc>
          <w:tcPr>
            <w:tcW w:w="2009" w:type="dxa"/>
            <w:vAlign w:val="center"/>
          </w:tcPr>
          <w:p w14:paraId="0A5EB9C6">
            <w:pPr>
              <w:jc w:val="center"/>
              <w:rPr>
                <w:rFonts w:hint="default" w:eastAsiaTheme="minorEastAsia"/>
                <w:sz w:val="24"/>
                <w:szCs w:val="24"/>
                <w:vertAlign w:val="baseline"/>
                <w:lang w:val="en-US" w:eastAsia="zh-CN"/>
              </w:rPr>
            </w:pPr>
            <w:r>
              <w:rPr>
                <w:rFonts w:hint="eastAsia"/>
                <w:sz w:val="24"/>
                <w:szCs w:val="24"/>
                <w:vertAlign w:val="baseline"/>
                <w:lang w:val="en-US" w:eastAsia="zh-CN"/>
              </w:rPr>
              <w:t>老梨树规范化管理1000亩。</w:t>
            </w:r>
          </w:p>
        </w:tc>
      </w:tr>
      <w:tr w14:paraId="4755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55" w:type="dxa"/>
            <w:vAlign w:val="center"/>
          </w:tcPr>
          <w:p w14:paraId="0C8432AA">
            <w:pPr>
              <w:jc w:val="center"/>
              <w:rPr>
                <w:rFonts w:hint="eastAsia" w:eastAsiaTheme="minorEastAsia"/>
                <w:sz w:val="24"/>
                <w:szCs w:val="24"/>
                <w:vertAlign w:val="baseline"/>
                <w:lang w:val="en-US" w:eastAsia="zh-CN"/>
              </w:rPr>
            </w:pPr>
            <w:r>
              <w:rPr>
                <w:rFonts w:hint="eastAsia"/>
                <w:sz w:val="24"/>
                <w:szCs w:val="24"/>
                <w:vertAlign w:val="baseline"/>
                <w:lang w:val="en-US" w:eastAsia="zh-CN"/>
              </w:rPr>
              <w:t>2</w:t>
            </w:r>
          </w:p>
        </w:tc>
        <w:tc>
          <w:tcPr>
            <w:tcW w:w="2251" w:type="dxa"/>
            <w:vAlign w:val="center"/>
          </w:tcPr>
          <w:p w14:paraId="2E79DB0B">
            <w:pPr>
              <w:jc w:val="center"/>
              <w:rPr>
                <w:sz w:val="24"/>
                <w:szCs w:val="24"/>
                <w:vertAlign w:val="baseline"/>
              </w:rPr>
            </w:pPr>
            <w:r>
              <w:rPr>
                <w:rFonts w:hint="eastAsia"/>
                <w:sz w:val="24"/>
                <w:szCs w:val="24"/>
                <w:vertAlign w:val="baseline"/>
                <w:lang w:val="en-US" w:eastAsia="zh-CN"/>
              </w:rPr>
              <w:t>完善黄梨栽培系统非遗文化传承管理制度</w:t>
            </w:r>
          </w:p>
        </w:tc>
        <w:tc>
          <w:tcPr>
            <w:tcW w:w="3030" w:type="dxa"/>
            <w:vAlign w:val="center"/>
          </w:tcPr>
          <w:p w14:paraId="2A668CBC">
            <w:pPr>
              <w:jc w:val="center"/>
              <w:rPr>
                <w:sz w:val="24"/>
                <w:szCs w:val="24"/>
                <w:vertAlign w:val="baseline"/>
              </w:rPr>
            </w:pPr>
            <w:r>
              <w:rPr>
                <w:rFonts w:hint="eastAsia"/>
                <w:sz w:val="24"/>
                <w:szCs w:val="24"/>
                <w:vertAlign w:val="baseline"/>
                <w:lang w:val="en-US" w:eastAsia="zh-CN"/>
              </w:rPr>
              <w:t>依托高平大黄梨产业协会，吸纳黄梨文化传承人，完善健全管理制度，增强内生动力，形成发展合力。</w:t>
            </w:r>
          </w:p>
        </w:tc>
        <w:tc>
          <w:tcPr>
            <w:tcW w:w="1425" w:type="dxa"/>
            <w:vAlign w:val="center"/>
          </w:tcPr>
          <w:p w14:paraId="3E450F4D">
            <w:pPr>
              <w:jc w:val="center"/>
              <w:rPr>
                <w:sz w:val="24"/>
                <w:szCs w:val="24"/>
                <w:vertAlign w:val="baseline"/>
              </w:rPr>
            </w:pPr>
            <w:r>
              <w:rPr>
                <w:rFonts w:hint="eastAsia"/>
                <w:sz w:val="24"/>
                <w:szCs w:val="24"/>
                <w:vertAlign w:val="baseline"/>
                <w:lang w:val="en-US" w:eastAsia="zh-CN"/>
              </w:rPr>
              <w:t>高平市农业农村局</w:t>
            </w:r>
          </w:p>
        </w:tc>
        <w:tc>
          <w:tcPr>
            <w:tcW w:w="1530" w:type="dxa"/>
            <w:vAlign w:val="center"/>
          </w:tcPr>
          <w:p w14:paraId="6B1CBD08">
            <w:pPr>
              <w:jc w:val="center"/>
              <w:rPr>
                <w:sz w:val="24"/>
                <w:szCs w:val="24"/>
                <w:vertAlign w:val="baseline"/>
              </w:rPr>
            </w:pPr>
            <w:r>
              <w:rPr>
                <w:rFonts w:hint="eastAsia"/>
                <w:sz w:val="24"/>
                <w:szCs w:val="24"/>
                <w:vertAlign w:val="baseline"/>
                <w:lang w:val="en-US" w:eastAsia="zh-CN"/>
              </w:rPr>
              <w:t>2026年-2028年</w:t>
            </w:r>
          </w:p>
        </w:tc>
        <w:tc>
          <w:tcPr>
            <w:tcW w:w="2009" w:type="dxa"/>
            <w:vAlign w:val="center"/>
          </w:tcPr>
          <w:p w14:paraId="0710C771">
            <w:pPr>
              <w:jc w:val="center"/>
              <w:rPr>
                <w:rFonts w:hint="default" w:eastAsiaTheme="minorEastAsia"/>
                <w:sz w:val="24"/>
                <w:szCs w:val="24"/>
                <w:vertAlign w:val="baseline"/>
                <w:lang w:val="en-US" w:eastAsia="zh-CN"/>
              </w:rPr>
            </w:pPr>
            <w:r>
              <w:rPr>
                <w:rFonts w:hint="eastAsia"/>
                <w:sz w:val="24"/>
                <w:szCs w:val="24"/>
                <w:vertAlign w:val="baseline"/>
                <w:lang w:val="en-US" w:eastAsia="zh-CN"/>
              </w:rPr>
              <w:t xml:space="preserve">  形成黄梨文化传承管理制度</w:t>
            </w:r>
          </w:p>
        </w:tc>
      </w:tr>
      <w:tr w14:paraId="2363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55" w:type="dxa"/>
            <w:vAlign w:val="center"/>
          </w:tcPr>
          <w:p w14:paraId="3B3DA1C2">
            <w:pPr>
              <w:jc w:val="center"/>
              <w:rPr>
                <w:rFonts w:hint="eastAsia" w:eastAsiaTheme="minorEastAsia"/>
                <w:sz w:val="24"/>
                <w:szCs w:val="24"/>
                <w:vertAlign w:val="baseline"/>
                <w:lang w:val="en-US" w:eastAsia="zh-CN"/>
              </w:rPr>
            </w:pPr>
            <w:r>
              <w:rPr>
                <w:rFonts w:hint="eastAsia"/>
                <w:sz w:val="24"/>
                <w:szCs w:val="24"/>
                <w:vertAlign w:val="baseline"/>
                <w:lang w:val="en-US" w:eastAsia="zh-CN"/>
              </w:rPr>
              <w:t>3</w:t>
            </w:r>
          </w:p>
        </w:tc>
        <w:tc>
          <w:tcPr>
            <w:tcW w:w="2251" w:type="dxa"/>
            <w:vAlign w:val="center"/>
          </w:tcPr>
          <w:p w14:paraId="39AE42EA">
            <w:pPr>
              <w:jc w:val="center"/>
              <w:rPr>
                <w:sz w:val="24"/>
                <w:szCs w:val="24"/>
                <w:vertAlign w:val="baseline"/>
              </w:rPr>
            </w:pPr>
            <w:r>
              <w:rPr>
                <w:rFonts w:hint="eastAsia"/>
                <w:sz w:val="24"/>
                <w:szCs w:val="24"/>
                <w:vertAlign w:val="baseline"/>
                <w:lang w:val="en-US" w:eastAsia="zh-CN"/>
              </w:rPr>
              <w:t>建立黄梨传统耕作技艺与文化传承工作机制</w:t>
            </w:r>
          </w:p>
        </w:tc>
        <w:tc>
          <w:tcPr>
            <w:tcW w:w="3030" w:type="dxa"/>
            <w:vAlign w:val="center"/>
          </w:tcPr>
          <w:p w14:paraId="3D3C1BB0">
            <w:pPr>
              <w:jc w:val="center"/>
              <w:rPr>
                <w:sz w:val="24"/>
                <w:szCs w:val="24"/>
                <w:vertAlign w:val="baseline"/>
              </w:rPr>
            </w:pPr>
            <w:r>
              <w:rPr>
                <w:rFonts w:hint="eastAsia"/>
                <w:sz w:val="24"/>
                <w:szCs w:val="24"/>
                <w:vertAlign w:val="baseline"/>
                <w:lang w:val="en-US" w:eastAsia="zh-CN"/>
              </w:rPr>
              <w:t>建立市乡村三级协同共推黄梨产业发展与文化传承工作机制，建立“政府+市场主体”、“政府+协会”、“传承人+主市场体+农户”等机制</w:t>
            </w:r>
          </w:p>
        </w:tc>
        <w:tc>
          <w:tcPr>
            <w:tcW w:w="1425" w:type="dxa"/>
            <w:vAlign w:val="center"/>
          </w:tcPr>
          <w:p w14:paraId="696A3C5C">
            <w:pPr>
              <w:jc w:val="center"/>
              <w:rPr>
                <w:sz w:val="24"/>
                <w:szCs w:val="24"/>
                <w:vertAlign w:val="baseline"/>
              </w:rPr>
            </w:pPr>
            <w:r>
              <w:rPr>
                <w:rFonts w:hint="eastAsia"/>
                <w:sz w:val="24"/>
                <w:szCs w:val="24"/>
                <w:vertAlign w:val="baseline"/>
                <w:lang w:val="en-US" w:eastAsia="zh-CN"/>
              </w:rPr>
              <w:t>高平市农业农村局</w:t>
            </w:r>
          </w:p>
        </w:tc>
        <w:tc>
          <w:tcPr>
            <w:tcW w:w="1530" w:type="dxa"/>
            <w:vAlign w:val="center"/>
          </w:tcPr>
          <w:p w14:paraId="50694133">
            <w:pPr>
              <w:jc w:val="center"/>
              <w:rPr>
                <w:sz w:val="24"/>
                <w:szCs w:val="24"/>
                <w:vertAlign w:val="baseline"/>
              </w:rPr>
            </w:pPr>
            <w:r>
              <w:rPr>
                <w:rFonts w:hint="eastAsia"/>
                <w:sz w:val="24"/>
                <w:szCs w:val="24"/>
                <w:vertAlign w:val="baseline"/>
                <w:lang w:val="en-US" w:eastAsia="zh-CN"/>
              </w:rPr>
              <w:t>2026年-2028年</w:t>
            </w:r>
          </w:p>
        </w:tc>
        <w:tc>
          <w:tcPr>
            <w:tcW w:w="2009" w:type="dxa"/>
            <w:vAlign w:val="center"/>
          </w:tcPr>
          <w:p w14:paraId="1B842A5C">
            <w:pPr>
              <w:jc w:val="center"/>
              <w:rPr>
                <w:sz w:val="24"/>
                <w:szCs w:val="24"/>
                <w:vertAlign w:val="baseline"/>
              </w:rPr>
            </w:pPr>
            <w:r>
              <w:rPr>
                <w:rFonts w:hint="eastAsia"/>
                <w:sz w:val="24"/>
                <w:szCs w:val="24"/>
                <w:vertAlign w:val="baseline"/>
                <w:lang w:val="en-US" w:eastAsia="zh-CN"/>
              </w:rPr>
              <w:t>打通黄梨种植-收储—加工—市场、种植文化—饮食文化—习俗文化—传承文化通道</w:t>
            </w:r>
          </w:p>
        </w:tc>
      </w:tr>
    </w:tbl>
    <w:p w14:paraId="7648C11C">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 w:hAnsi="楷体" w:eastAsia="楷体" w:cs="楷体"/>
          <w:sz w:val="32"/>
          <w:szCs w:val="32"/>
          <w:lang w:val="en-US" w:eastAsia="zh-CN"/>
        </w:rPr>
      </w:pPr>
      <w:bookmarkStart w:id="34" w:name="_Toc1154"/>
      <w:r>
        <w:rPr>
          <w:rFonts w:hint="eastAsia" w:ascii="楷体" w:hAnsi="楷体" w:eastAsia="楷体" w:cs="楷体"/>
          <w:sz w:val="32"/>
          <w:szCs w:val="32"/>
          <w:lang w:val="en-US" w:eastAsia="zh-CN"/>
        </w:rPr>
        <w:t>（六）行动计划编写人员名单</w:t>
      </w:r>
      <w:bookmarkEnd w:id="34"/>
      <w:r>
        <w:rPr>
          <w:rFonts w:hint="eastAsia" w:ascii="楷体" w:hAnsi="楷体" w:eastAsia="楷体" w:cs="楷体"/>
          <w:sz w:val="32"/>
          <w:szCs w:val="32"/>
          <w:lang w:val="en-US" w:eastAsia="zh-CN"/>
        </w:rPr>
        <w:t xml:space="preserve"> </w:t>
      </w:r>
    </w:p>
    <w:tbl>
      <w:tblPr>
        <w:tblStyle w:val="18"/>
        <w:tblW w:w="11085" w:type="dxa"/>
        <w:tblInd w:w="-1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5"/>
        <w:gridCol w:w="3120"/>
        <w:gridCol w:w="3405"/>
        <w:gridCol w:w="1635"/>
      </w:tblGrid>
      <w:tr w14:paraId="1558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5" w:type="dxa"/>
            <w:vAlign w:val="center"/>
          </w:tcPr>
          <w:p w14:paraId="335A4F31">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姓名</w:t>
            </w:r>
          </w:p>
        </w:tc>
        <w:tc>
          <w:tcPr>
            <w:tcW w:w="3120" w:type="dxa"/>
            <w:vAlign w:val="center"/>
          </w:tcPr>
          <w:p w14:paraId="096DF63F">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职称/职务</w:t>
            </w:r>
          </w:p>
        </w:tc>
        <w:tc>
          <w:tcPr>
            <w:tcW w:w="3405" w:type="dxa"/>
            <w:vAlign w:val="center"/>
          </w:tcPr>
          <w:p w14:paraId="412572D6">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所在单位</w:t>
            </w:r>
          </w:p>
        </w:tc>
        <w:tc>
          <w:tcPr>
            <w:tcW w:w="1635" w:type="dxa"/>
            <w:vAlign w:val="center"/>
          </w:tcPr>
          <w:p w14:paraId="4C675858">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备注</w:t>
            </w:r>
          </w:p>
        </w:tc>
      </w:tr>
      <w:tr w14:paraId="5584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25" w:type="dxa"/>
            <w:vAlign w:val="center"/>
          </w:tcPr>
          <w:p w14:paraId="5D73F3A0">
            <w:pPr>
              <w:jc w:val="center"/>
              <w:rPr>
                <w:rFonts w:hint="default" w:eastAsiaTheme="minorEastAsia"/>
                <w:sz w:val="24"/>
                <w:szCs w:val="24"/>
                <w:vertAlign w:val="baseline"/>
                <w:lang w:val="en-US" w:eastAsia="zh-CN"/>
              </w:rPr>
            </w:pPr>
            <w:r>
              <w:rPr>
                <w:rFonts w:hint="eastAsia"/>
                <w:sz w:val="24"/>
                <w:szCs w:val="24"/>
                <w:vertAlign w:val="baseline"/>
                <w:lang w:val="en-US" w:eastAsia="zh-CN"/>
              </w:rPr>
              <w:t>徐  浩</w:t>
            </w:r>
          </w:p>
        </w:tc>
        <w:tc>
          <w:tcPr>
            <w:tcW w:w="3120" w:type="dxa"/>
            <w:vAlign w:val="center"/>
          </w:tcPr>
          <w:p w14:paraId="3DE9973C">
            <w:pPr>
              <w:jc w:val="center"/>
              <w:rPr>
                <w:rFonts w:hint="default" w:eastAsiaTheme="minorEastAsia"/>
                <w:sz w:val="24"/>
                <w:szCs w:val="24"/>
                <w:vertAlign w:val="baseline"/>
                <w:lang w:val="en-US" w:eastAsia="zh-CN"/>
              </w:rPr>
            </w:pPr>
            <w:r>
              <w:rPr>
                <w:rFonts w:hint="eastAsia"/>
                <w:sz w:val="24"/>
                <w:szCs w:val="24"/>
                <w:vertAlign w:val="baseline"/>
                <w:lang w:val="en-US" w:eastAsia="zh-CN"/>
              </w:rPr>
              <w:t>市长</w:t>
            </w:r>
          </w:p>
        </w:tc>
        <w:tc>
          <w:tcPr>
            <w:tcW w:w="3405" w:type="dxa"/>
            <w:vAlign w:val="center"/>
          </w:tcPr>
          <w:p w14:paraId="087C2F50">
            <w:pPr>
              <w:jc w:val="center"/>
              <w:rPr>
                <w:rFonts w:hint="default" w:eastAsiaTheme="minorEastAsia"/>
                <w:sz w:val="24"/>
                <w:szCs w:val="24"/>
                <w:vertAlign w:val="baseline"/>
                <w:lang w:val="en-US" w:eastAsia="zh-CN"/>
              </w:rPr>
            </w:pPr>
            <w:r>
              <w:rPr>
                <w:rFonts w:hint="eastAsia"/>
                <w:sz w:val="24"/>
                <w:szCs w:val="24"/>
                <w:vertAlign w:val="baseline"/>
                <w:lang w:val="en-US" w:eastAsia="zh-CN"/>
              </w:rPr>
              <w:t>高平市人民政府</w:t>
            </w:r>
          </w:p>
        </w:tc>
        <w:tc>
          <w:tcPr>
            <w:tcW w:w="1635" w:type="dxa"/>
            <w:vAlign w:val="center"/>
          </w:tcPr>
          <w:p w14:paraId="2599DF9E">
            <w:pPr>
              <w:jc w:val="center"/>
              <w:rPr>
                <w:sz w:val="24"/>
                <w:szCs w:val="24"/>
                <w:vertAlign w:val="baseline"/>
              </w:rPr>
            </w:pPr>
          </w:p>
        </w:tc>
      </w:tr>
      <w:tr w14:paraId="1F1D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25" w:type="dxa"/>
            <w:vAlign w:val="center"/>
          </w:tcPr>
          <w:p w14:paraId="01939E9F">
            <w:pPr>
              <w:jc w:val="center"/>
              <w:rPr>
                <w:rFonts w:hint="eastAsia" w:eastAsiaTheme="minorEastAsia"/>
                <w:sz w:val="24"/>
                <w:szCs w:val="24"/>
                <w:vertAlign w:val="baseline"/>
                <w:lang w:val="en-US" w:eastAsia="zh-CN"/>
              </w:rPr>
            </w:pPr>
            <w:r>
              <w:rPr>
                <w:rFonts w:hint="eastAsia"/>
                <w:sz w:val="24"/>
                <w:szCs w:val="24"/>
                <w:vertAlign w:val="baseline"/>
                <w:lang w:val="en-US" w:eastAsia="zh-CN"/>
              </w:rPr>
              <w:t>牛振亮</w:t>
            </w:r>
          </w:p>
        </w:tc>
        <w:tc>
          <w:tcPr>
            <w:tcW w:w="3120" w:type="dxa"/>
            <w:vAlign w:val="center"/>
          </w:tcPr>
          <w:p w14:paraId="2064E9CB">
            <w:pPr>
              <w:jc w:val="center"/>
              <w:rPr>
                <w:rFonts w:hint="default" w:eastAsiaTheme="minorEastAsia"/>
                <w:sz w:val="24"/>
                <w:szCs w:val="24"/>
                <w:vertAlign w:val="baseline"/>
                <w:lang w:val="en-US" w:eastAsia="zh-CN"/>
              </w:rPr>
            </w:pPr>
            <w:r>
              <w:rPr>
                <w:rFonts w:hint="eastAsia"/>
                <w:sz w:val="24"/>
                <w:szCs w:val="24"/>
                <w:vertAlign w:val="baseline"/>
                <w:lang w:val="en-US" w:eastAsia="zh-CN"/>
              </w:rPr>
              <w:t>副市长</w:t>
            </w:r>
          </w:p>
        </w:tc>
        <w:tc>
          <w:tcPr>
            <w:tcW w:w="3405" w:type="dxa"/>
            <w:vAlign w:val="center"/>
          </w:tcPr>
          <w:p w14:paraId="6F9F3502">
            <w:pPr>
              <w:jc w:val="center"/>
              <w:rPr>
                <w:sz w:val="24"/>
                <w:szCs w:val="24"/>
                <w:vertAlign w:val="baseline"/>
              </w:rPr>
            </w:pPr>
            <w:r>
              <w:rPr>
                <w:rFonts w:hint="eastAsia"/>
                <w:sz w:val="24"/>
                <w:szCs w:val="24"/>
                <w:vertAlign w:val="baseline"/>
                <w:lang w:val="en-US" w:eastAsia="zh-CN"/>
              </w:rPr>
              <w:t>高平市人民政府</w:t>
            </w:r>
          </w:p>
        </w:tc>
        <w:tc>
          <w:tcPr>
            <w:tcW w:w="1635" w:type="dxa"/>
            <w:vAlign w:val="center"/>
          </w:tcPr>
          <w:p w14:paraId="09611FB4">
            <w:pPr>
              <w:jc w:val="center"/>
              <w:rPr>
                <w:sz w:val="24"/>
                <w:szCs w:val="24"/>
                <w:vertAlign w:val="baseline"/>
              </w:rPr>
            </w:pPr>
          </w:p>
        </w:tc>
      </w:tr>
      <w:tr w14:paraId="70CC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25" w:type="dxa"/>
            <w:vAlign w:val="center"/>
          </w:tcPr>
          <w:p w14:paraId="7C205543">
            <w:pPr>
              <w:jc w:val="center"/>
              <w:rPr>
                <w:rFonts w:hint="eastAsia" w:eastAsiaTheme="minorEastAsia"/>
                <w:sz w:val="24"/>
                <w:szCs w:val="24"/>
                <w:vertAlign w:val="baseline"/>
                <w:lang w:val="en-US" w:eastAsia="zh-CN"/>
              </w:rPr>
            </w:pPr>
            <w:r>
              <w:rPr>
                <w:rFonts w:hint="eastAsia"/>
                <w:sz w:val="24"/>
                <w:szCs w:val="24"/>
                <w:vertAlign w:val="baseline"/>
                <w:lang w:val="en-US" w:eastAsia="zh-CN"/>
              </w:rPr>
              <w:t>王  路</w:t>
            </w:r>
          </w:p>
        </w:tc>
        <w:tc>
          <w:tcPr>
            <w:tcW w:w="3120" w:type="dxa"/>
            <w:vAlign w:val="center"/>
          </w:tcPr>
          <w:p w14:paraId="61454BD8">
            <w:pPr>
              <w:jc w:val="center"/>
              <w:rPr>
                <w:rFonts w:hint="default" w:eastAsiaTheme="minorEastAsia"/>
                <w:sz w:val="24"/>
                <w:szCs w:val="24"/>
                <w:vertAlign w:val="baseline"/>
                <w:lang w:val="en-US" w:eastAsia="zh-CN"/>
              </w:rPr>
            </w:pPr>
            <w:r>
              <w:rPr>
                <w:rFonts w:hint="eastAsia"/>
                <w:sz w:val="24"/>
                <w:szCs w:val="24"/>
                <w:vertAlign w:val="baseline"/>
                <w:lang w:val="en-US" w:eastAsia="zh-CN"/>
              </w:rPr>
              <w:t>党组书记、局长</w:t>
            </w:r>
          </w:p>
        </w:tc>
        <w:tc>
          <w:tcPr>
            <w:tcW w:w="3405" w:type="dxa"/>
            <w:vAlign w:val="center"/>
          </w:tcPr>
          <w:p w14:paraId="59DEDB65">
            <w:pPr>
              <w:jc w:val="center"/>
              <w:rPr>
                <w:rFonts w:hint="default" w:eastAsiaTheme="minorEastAsia"/>
                <w:sz w:val="24"/>
                <w:szCs w:val="24"/>
                <w:vertAlign w:val="baseline"/>
                <w:lang w:val="en-US" w:eastAsia="zh-CN"/>
              </w:rPr>
            </w:pPr>
            <w:r>
              <w:rPr>
                <w:rFonts w:hint="eastAsia"/>
                <w:sz w:val="24"/>
                <w:szCs w:val="24"/>
                <w:vertAlign w:val="baseline"/>
                <w:lang w:val="en-US" w:eastAsia="zh-CN"/>
              </w:rPr>
              <w:t>高平市农业农村局</w:t>
            </w:r>
          </w:p>
        </w:tc>
        <w:tc>
          <w:tcPr>
            <w:tcW w:w="1635" w:type="dxa"/>
            <w:vAlign w:val="center"/>
          </w:tcPr>
          <w:p w14:paraId="6BC7D2AB">
            <w:pPr>
              <w:jc w:val="center"/>
              <w:rPr>
                <w:sz w:val="24"/>
                <w:szCs w:val="24"/>
                <w:vertAlign w:val="baseline"/>
              </w:rPr>
            </w:pPr>
          </w:p>
        </w:tc>
      </w:tr>
      <w:tr w14:paraId="4956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25" w:type="dxa"/>
            <w:shd w:val="clear" w:color="auto" w:fill="auto"/>
            <w:vAlign w:val="center"/>
          </w:tcPr>
          <w:p w14:paraId="15A4AF1F">
            <w:pPr>
              <w:jc w:val="center"/>
              <w:rPr>
                <w:rFonts w:hint="default" w:asciiTheme="minorHAnsi" w:hAnsiTheme="minorHAnsi" w:eastAsiaTheme="minor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宁宴庆</w:t>
            </w:r>
          </w:p>
        </w:tc>
        <w:tc>
          <w:tcPr>
            <w:tcW w:w="3120" w:type="dxa"/>
            <w:shd w:val="clear" w:color="auto" w:fill="auto"/>
            <w:vAlign w:val="center"/>
          </w:tcPr>
          <w:p w14:paraId="656E6BD5">
            <w:pPr>
              <w:jc w:val="center"/>
              <w:rPr>
                <w:rFonts w:hint="default" w:asciiTheme="minorHAnsi" w:hAnsiTheme="minorHAnsi" w:eastAsiaTheme="minor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党组成员、副局长</w:t>
            </w:r>
          </w:p>
        </w:tc>
        <w:tc>
          <w:tcPr>
            <w:tcW w:w="3405" w:type="dxa"/>
            <w:shd w:val="clear" w:color="auto" w:fill="auto"/>
            <w:vAlign w:val="center"/>
          </w:tcPr>
          <w:p w14:paraId="42F691F1">
            <w:pPr>
              <w:jc w:val="center"/>
              <w:rPr>
                <w:rFonts w:hint="default"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高平市农业农村局</w:t>
            </w:r>
          </w:p>
        </w:tc>
        <w:tc>
          <w:tcPr>
            <w:tcW w:w="1635" w:type="dxa"/>
            <w:vAlign w:val="center"/>
          </w:tcPr>
          <w:p w14:paraId="6A483E8C">
            <w:pPr>
              <w:jc w:val="center"/>
              <w:rPr>
                <w:sz w:val="24"/>
                <w:szCs w:val="24"/>
                <w:vertAlign w:val="baseline"/>
              </w:rPr>
            </w:pPr>
          </w:p>
        </w:tc>
      </w:tr>
      <w:tr w14:paraId="275C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25" w:type="dxa"/>
            <w:shd w:val="clear" w:color="auto" w:fill="auto"/>
            <w:vAlign w:val="center"/>
          </w:tcPr>
          <w:p w14:paraId="457C98EE">
            <w:pPr>
              <w:jc w:val="center"/>
              <w:rPr>
                <w:rFonts w:hint="default"/>
                <w:sz w:val="24"/>
                <w:szCs w:val="24"/>
                <w:vertAlign w:val="baseline"/>
                <w:lang w:val="en-US" w:eastAsia="zh-CN"/>
              </w:rPr>
            </w:pPr>
            <w:bookmarkStart w:id="35" w:name="_Toc23824"/>
            <w:r>
              <w:rPr>
                <w:rFonts w:hint="eastAsia"/>
                <w:sz w:val="24"/>
                <w:szCs w:val="24"/>
                <w:vertAlign w:val="baseline"/>
                <w:lang w:val="en-US" w:eastAsia="zh-CN"/>
              </w:rPr>
              <w:t>李培文</w:t>
            </w:r>
          </w:p>
        </w:tc>
        <w:tc>
          <w:tcPr>
            <w:tcW w:w="3120" w:type="dxa"/>
            <w:shd w:val="clear" w:color="auto" w:fill="auto"/>
            <w:vAlign w:val="center"/>
          </w:tcPr>
          <w:p w14:paraId="01614B9B">
            <w:pPr>
              <w:jc w:val="center"/>
              <w:rPr>
                <w:rFonts w:hint="default"/>
                <w:sz w:val="24"/>
                <w:szCs w:val="24"/>
                <w:vertAlign w:val="baseline"/>
                <w:lang w:val="en-US" w:eastAsia="zh-CN"/>
              </w:rPr>
            </w:pPr>
            <w:r>
              <w:rPr>
                <w:rFonts w:hint="eastAsia"/>
                <w:sz w:val="24"/>
                <w:szCs w:val="24"/>
                <w:vertAlign w:val="baseline"/>
                <w:lang w:val="en-US" w:eastAsia="zh-CN"/>
              </w:rPr>
              <w:t>高级农艺师</w:t>
            </w:r>
          </w:p>
        </w:tc>
        <w:tc>
          <w:tcPr>
            <w:tcW w:w="3405" w:type="dxa"/>
            <w:shd w:val="clear" w:color="auto" w:fill="auto"/>
            <w:vAlign w:val="center"/>
          </w:tcPr>
          <w:p w14:paraId="4AA81E98">
            <w:pPr>
              <w:jc w:val="center"/>
              <w:rPr>
                <w:rFonts w:hint="eastAsia"/>
                <w:sz w:val="24"/>
                <w:szCs w:val="24"/>
                <w:vertAlign w:val="baseline"/>
                <w:lang w:val="en-US" w:eastAsia="zh-CN"/>
              </w:rPr>
            </w:pPr>
            <w:r>
              <w:rPr>
                <w:rFonts w:hint="eastAsia"/>
                <w:sz w:val="24"/>
                <w:szCs w:val="24"/>
                <w:vertAlign w:val="baseline"/>
                <w:lang w:val="en-US" w:eastAsia="zh-CN"/>
              </w:rPr>
              <w:t>高平市农业农村局</w:t>
            </w:r>
          </w:p>
        </w:tc>
        <w:tc>
          <w:tcPr>
            <w:tcW w:w="1635" w:type="dxa"/>
            <w:vAlign w:val="center"/>
          </w:tcPr>
          <w:p w14:paraId="59D9087D">
            <w:pPr>
              <w:jc w:val="center"/>
              <w:rPr>
                <w:sz w:val="24"/>
                <w:szCs w:val="24"/>
                <w:vertAlign w:val="baseline"/>
              </w:rPr>
            </w:pPr>
          </w:p>
        </w:tc>
      </w:tr>
      <w:tr w14:paraId="47B7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25" w:type="dxa"/>
            <w:shd w:val="clear" w:color="auto" w:fill="auto"/>
            <w:vAlign w:val="center"/>
          </w:tcPr>
          <w:p w14:paraId="736DD597">
            <w:pPr>
              <w:jc w:val="center"/>
              <w:rPr>
                <w:rFonts w:hint="eastAsia"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吕佩佩</w:t>
            </w:r>
          </w:p>
        </w:tc>
        <w:tc>
          <w:tcPr>
            <w:tcW w:w="3120" w:type="dxa"/>
            <w:shd w:val="clear" w:color="auto" w:fill="auto"/>
            <w:vAlign w:val="center"/>
          </w:tcPr>
          <w:p w14:paraId="4FB1FF56">
            <w:pPr>
              <w:jc w:val="center"/>
              <w:rPr>
                <w:rFonts w:hint="default"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果树站站长</w:t>
            </w:r>
          </w:p>
        </w:tc>
        <w:tc>
          <w:tcPr>
            <w:tcW w:w="3405" w:type="dxa"/>
            <w:shd w:val="clear" w:color="auto" w:fill="auto"/>
            <w:vAlign w:val="center"/>
          </w:tcPr>
          <w:p w14:paraId="7AA9EB0D">
            <w:pPr>
              <w:jc w:val="center"/>
              <w:rPr>
                <w:rFonts w:hint="eastAsia"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高平市农业农村局</w:t>
            </w:r>
          </w:p>
        </w:tc>
        <w:tc>
          <w:tcPr>
            <w:tcW w:w="1635" w:type="dxa"/>
            <w:vAlign w:val="center"/>
          </w:tcPr>
          <w:p w14:paraId="06779740">
            <w:pPr>
              <w:jc w:val="center"/>
              <w:rPr>
                <w:sz w:val="24"/>
                <w:szCs w:val="24"/>
                <w:vertAlign w:val="baseline"/>
              </w:rPr>
            </w:pPr>
          </w:p>
        </w:tc>
      </w:tr>
    </w:tbl>
    <w:p w14:paraId="4E446EB1">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（七）行动计划责任分工</w:t>
      </w:r>
      <w:bookmarkEnd w:id="35"/>
    </w:p>
    <w:tbl>
      <w:tblPr>
        <w:tblStyle w:val="18"/>
        <w:tblW w:w="11085" w:type="dxa"/>
        <w:tblInd w:w="-1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1485"/>
        <w:gridCol w:w="8220"/>
      </w:tblGrid>
      <w:tr w14:paraId="39F2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80" w:type="dxa"/>
            <w:vMerge w:val="restart"/>
            <w:vAlign w:val="center"/>
          </w:tcPr>
          <w:p w14:paraId="756043D9">
            <w:pPr>
              <w:keepNext w:val="0"/>
              <w:keepLines w:val="0"/>
              <w:widowControl/>
              <w:suppressLineNumbers w:val="0"/>
              <w:jc w:val="center"/>
              <w:rPr>
                <w:sz w:val="24"/>
                <w:szCs w:val="24"/>
              </w:rPr>
            </w:pPr>
            <w:r>
              <w:rPr>
                <w:rFonts w:ascii="微软雅黑" w:hAnsi="微软雅黑" w:eastAsia="微软雅黑" w:cs="微软雅黑"/>
                <w:b/>
                <w:bCs/>
                <w:color w:val="080808"/>
                <w:kern w:val="0"/>
                <w:sz w:val="24"/>
                <w:szCs w:val="24"/>
                <w:lang w:val="en-US" w:eastAsia="zh-CN" w:bidi="ar"/>
              </w:rPr>
              <w:t>统筹协调</w:t>
            </w:r>
          </w:p>
          <w:p w14:paraId="529ED854">
            <w:pPr>
              <w:jc w:val="center"/>
              <w:rPr>
                <w:sz w:val="24"/>
                <w:szCs w:val="24"/>
                <w:vertAlign w:val="baseline"/>
              </w:rPr>
            </w:pPr>
          </w:p>
        </w:tc>
        <w:tc>
          <w:tcPr>
            <w:tcW w:w="1485" w:type="dxa"/>
            <w:vAlign w:val="center"/>
          </w:tcPr>
          <w:p w14:paraId="25E38F9B">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责任主体</w:t>
            </w:r>
          </w:p>
        </w:tc>
        <w:tc>
          <w:tcPr>
            <w:tcW w:w="8220" w:type="dxa"/>
            <w:vAlign w:val="center"/>
          </w:tcPr>
          <w:p w14:paraId="71AC17BA">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auto"/>
              <w:rPr>
                <w:rFonts w:hint="default" w:ascii="宋体" w:hAnsi="宋体" w:eastAsia="宋体" w:cs="宋体"/>
                <w:sz w:val="24"/>
                <w:szCs w:val="24"/>
                <w:vertAlign w:val="baseline"/>
                <w:lang w:val="en-US"/>
              </w:rPr>
            </w:pPr>
            <w:r>
              <w:rPr>
                <w:rFonts w:hint="eastAsia" w:ascii="宋体" w:hAnsi="宋体" w:eastAsia="宋体" w:cs="宋体"/>
                <w:color w:val="080808"/>
                <w:kern w:val="0"/>
                <w:sz w:val="24"/>
                <w:szCs w:val="24"/>
                <w:lang w:val="en-US" w:eastAsia="zh-CN" w:bidi="ar"/>
              </w:rPr>
              <w:t>高平市人民政府</w:t>
            </w:r>
          </w:p>
        </w:tc>
      </w:tr>
      <w:tr w14:paraId="2977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Merge w:val="continue"/>
            <w:vAlign w:val="center"/>
          </w:tcPr>
          <w:p w14:paraId="2E33F187">
            <w:pPr>
              <w:jc w:val="center"/>
              <w:rPr>
                <w:sz w:val="24"/>
                <w:szCs w:val="24"/>
                <w:vertAlign w:val="baseline"/>
              </w:rPr>
            </w:pPr>
          </w:p>
        </w:tc>
        <w:tc>
          <w:tcPr>
            <w:tcW w:w="1485" w:type="dxa"/>
            <w:vAlign w:val="center"/>
          </w:tcPr>
          <w:p w14:paraId="7E31E242">
            <w:pPr>
              <w:keepNext w:val="0"/>
              <w:keepLines w:val="0"/>
              <w:widowControl/>
              <w:suppressLineNumbers w:val="0"/>
              <w:jc w:val="center"/>
              <w:rPr>
                <w:sz w:val="24"/>
                <w:szCs w:val="24"/>
              </w:rPr>
            </w:pPr>
            <w:r>
              <w:rPr>
                <w:rFonts w:ascii="微软雅黑" w:hAnsi="微软雅黑" w:eastAsia="微软雅黑" w:cs="微软雅黑"/>
                <w:b/>
                <w:bCs/>
                <w:color w:val="080808"/>
                <w:kern w:val="0"/>
                <w:sz w:val="24"/>
                <w:szCs w:val="24"/>
                <w:lang w:val="en-US" w:eastAsia="zh-CN" w:bidi="ar"/>
              </w:rPr>
              <w:t>责任内容</w:t>
            </w:r>
          </w:p>
          <w:p w14:paraId="587FE8F6">
            <w:pPr>
              <w:jc w:val="center"/>
              <w:rPr>
                <w:sz w:val="24"/>
                <w:szCs w:val="24"/>
                <w:vertAlign w:val="baseline"/>
              </w:rPr>
            </w:pPr>
          </w:p>
        </w:tc>
        <w:tc>
          <w:tcPr>
            <w:tcW w:w="8220" w:type="dxa"/>
          </w:tcPr>
          <w:p w14:paraId="233553A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color w:val="080808"/>
                <w:kern w:val="0"/>
                <w:sz w:val="24"/>
                <w:szCs w:val="24"/>
                <w:lang w:val="en-US" w:eastAsia="zh-CN" w:bidi="ar"/>
              </w:rPr>
              <w:t>成立相应领导小组，审批农业文化遗产传承与发展计划、年度目标及重大调整；统筹协调农业农村、林业、自然资源等政府部门，解决跨部门重大问题协调、 多部门资金整合；定期听取计划执行情况汇报，审核关键节点成果如老梨树普查、发展项目成效等；对接上级主管部门及外部专家资源，争取政策、资金与技术支持。</w:t>
            </w:r>
          </w:p>
        </w:tc>
      </w:tr>
      <w:tr w14:paraId="538C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Merge w:val="restart"/>
            <w:vAlign w:val="center"/>
          </w:tcPr>
          <w:p w14:paraId="32071C35">
            <w:pPr>
              <w:keepNext w:val="0"/>
              <w:keepLines w:val="0"/>
              <w:widowControl/>
              <w:suppressLineNumbers w:val="0"/>
              <w:jc w:val="center"/>
              <w:rPr>
                <w:sz w:val="24"/>
                <w:szCs w:val="24"/>
              </w:rPr>
            </w:pPr>
            <w:r>
              <w:rPr>
                <w:rFonts w:ascii="微软雅黑" w:hAnsi="微软雅黑" w:eastAsia="微软雅黑" w:cs="微软雅黑"/>
                <w:b/>
                <w:bCs/>
                <w:color w:val="080808"/>
                <w:kern w:val="0"/>
                <w:sz w:val="24"/>
                <w:szCs w:val="24"/>
                <w:lang w:val="en-US" w:eastAsia="zh-CN" w:bidi="ar"/>
              </w:rPr>
              <w:t>项目执行</w:t>
            </w:r>
          </w:p>
          <w:p w14:paraId="0AB8D4C6">
            <w:pPr>
              <w:jc w:val="center"/>
              <w:rPr>
                <w:sz w:val="24"/>
                <w:szCs w:val="24"/>
                <w:vertAlign w:val="baseline"/>
              </w:rPr>
            </w:pPr>
          </w:p>
        </w:tc>
        <w:tc>
          <w:tcPr>
            <w:tcW w:w="1485" w:type="dxa"/>
            <w:vAlign w:val="center"/>
          </w:tcPr>
          <w:p w14:paraId="35A9F9E1">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责任主体</w:t>
            </w:r>
          </w:p>
        </w:tc>
        <w:tc>
          <w:tcPr>
            <w:tcW w:w="8220" w:type="dxa"/>
            <w:vAlign w:val="center"/>
          </w:tcPr>
          <w:p w14:paraId="444CF56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r>
              <w:rPr>
                <w:rFonts w:hint="eastAsia" w:ascii="宋体" w:hAnsi="宋体" w:eastAsia="宋体" w:cs="宋体"/>
                <w:color w:val="080808"/>
                <w:kern w:val="0"/>
                <w:sz w:val="24"/>
                <w:szCs w:val="24"/>
                <w:lang w:val="en-US" w:eastAsia="zh-CN" w:bidi="ar"/>
              </w:rPr>
              <w:t>高平市农业农村局、高平市林业局、</w:t>
            </w:r>
            <w:r>
              <w:rPr>
                <w:rFonts w:hint="eastAsia" w:ascii="宋体" w:hAnsi="宋体" w:eastAsia="宋体" w:cs="宋体"/>
                <w:color w:val="080808"/>
                <w:kern w:val="0"/>
                <w:sz w:val="24"/>
                <w:szCs w:val="24"/>
                <w:lang w:val="zh-CN" w:eastAsia="zh-CN" w:bidi="ar"/>
              </w:rPr>
              <w:t>五谷丰农业农村投资集团有限公司</w:t>
            </w:r>
            <w:r>
              <w:rPr>
                <w:rFonts w:hint="eastAsia" w:ascii="宋体" w:hAnsi="宋体" w:eastAsia="宋体" w:cs="宋体"/>
                <w:color w:val="080808"/>
                <w:kern w:val="0"/>
                <w:sz w:val="24"/>
                <w:szCs w:val="24"/>
                <w:lang w:val="en-US" w:eastAsia="zh-CN" w:bidi="ar"/>
              </w:rPr>
              <w:t>等</w:t>
            </w:r>
          </w:p>
        </w:tc>
      </w:tr>
      <w:tr w14:paraId="6920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Merge w:val="continue"/>
            <w:vAlign w:val="center"/>
          </w:tcPr>
          <w:p w14:paraId="1BF182FA">
            <w:pPr>
              <w:jc w:val="center"/>
              <w:rPr>
                <w:sz w:val="24"/>
                <w:szCs w:val="24"/>
                <w:vertAlign w:val="baseline"/>
              </w:rPr>
            </w:pPr>
          </w:p>
        </w:tc>
        <w:tc>
          <w:tcPr>
            <w:tcW w:w="1485" w:type="dxa"/>
            <w:vAlign w:val="center"/>
          </w:tcPr>
          <w:p w14:paraId="5B4820EB">
            <w:pPr>
              <w:keepNext w:val="0"/>
              <w:keepLines w:val="0"/>
              <w:widowControl/>
              <w:suppressLineNumbers w:val="0"/>
              <w:jc w:val="center"/>
              <w:rPr>
                <w:sz w:val="24"/>
                <w:szCs w:val="24"/>
              </w:rPr>
            </w:pPr>
            <w:r>
              <w:rPr>
                <w:rFonts w:ascii="微软雅黑" w:hAnsi="微软雅黑" w:eastAsia="微软雅黑" w:cs="微软雅黑"/>
                <w:b/>
                <w:bCs/>
                <w:color w:val="080808"/>
                <w:kern w:val="0"/>
                <w:sz w:val="24"/>
                <w:szCs w:val="24"/>
                <w:lang w:val="en-US" w:eastAsia="zh-CN" w:bidi="ar"/>
              </w:rPr>
              <w:t>责任内容</w:t>
            </w:r>
          </w:p>
          <w:p w14:paraId="0469F8F8">
            <w:pPr>
              <w:jc w:val="center"/>
              <w:rPr>
                <w:sz w:val="24"/>
                <w:szCs w:val="24"/>
                <w:vertAlign w:val="baseline"/>
              </w:rPr>
            </w:pPr>
          </w:p>
        </w:tc>
        <w:tc>
          <w:tcPr>
            <w:tcW w:w="8220" w:type="dxa"/>
          </w:tcPr>
          <w:p w14:paraId="6F7724B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color w:val="080808"/>
                <w:kern w:val="0"/>
                <w:sz w:val="24"/>
                <w:szCs w:val="24"/>
                <w:lang w:val="en-US" w:eastAsia="zh-CN" w:bidi="ar"/>
              </w:rPr>
              <w:t>制定计划详细执行细则、时间进度表及任务分解表；实时跟踪任务进度，收集执行中的问题如普查遇阻、传承人配合度低，并反馈至统筹协调层；组织工作例会，协调解决如保护组、发展组、推广组间的协作问题、普查数据与保护方案衔接；每季度整理计划执行数据报告含遗产保护成效、传承人参与情况，提交至统筹协调层。）</w:t>
            </w:r>
          </w:p>
        </w:tc>
      </w:tr>
      <w:tr w14:paraId="1956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380" w:type="dxa"/>
            <w:vMerge w:val="restart"/>
            <w:vAlign w:val="center"/>
          </w:tcPr>
          <w:p w14:paraId="37664594">
            <w:pPr>
              <w:keepNext w:val="0"/>
              <w:keepLines w:val="0"/>
              <w:widowControl/>
              <w:suppressLineNumbers w:val="0"/>
              <w:jc w:val="center"/>
              <w:rPr>
                <w:sz w:val="24"/>
                <w:szCs w:val="24"/>
              </w:rPr>
            </w:pPr>
            <w:r>
              <w:rPr>
                <w:rFonts w:ascii="微软雅黑" w:hAnsi="微软雅黑" w:eastAsia="微软雅黑" w:cs="微软雅黑"/>
                <w:b/>
                <w:bCs/>
                <w:color w:val="080808"/>
                <w:kern w:val="0"/>
                <w:sz w:val="24"/>
                <w:szCs w:val="24"/>
                <w:lang w:val="en-US" w:eastAsia="zh-CN" w:bidi="ar"/>
              </w:rPr>
              <w:t>监督评估</w:t>
            </w:r>
          </w:p>
          <w:p w14:paraId="3DA0B7BF">
            <w:pPr>
              <w:jc w:val="center"/>
              <w:rPr>
                <w:sz w:val="24"/>
                <w:szCs w:val="24"/>
                <w:vertAlign w:val="baseline"/>
              </w:rPr>
            </w:pPr>
          </w:p>
        </w:tc>
        <w:tc>
          <w:tcPr>
            <w:tcW w:w="1485" w:type="dxa"/>
            <w:vAlign w:val="center"/>
          </w:tcPr>
          <w:p w14:paraId="0A74527F">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责任主体</w:t>
            </w:r>
          </w:p>
        </w:tc>
        <w:tc>
          <w:tcPr>
            <w:tcW w:w="8220" w:type="dxa"/>
            <w:vAlign w:val="center"/>
          </w:tcPr>
          <w:p w14:paraId="6681B28B">
            <w:pPr>
              <w:keepNext w:val="0"/>
              <w:keepLines w:val="0"/>
              <w:pageBreakBefore w:val="0"/>
              <w:kinsoku/>
              <w:wordWrap/>
              <w:overflowPunct/>
              <w:topLinePunct w:val="0"/>
              <w:autoSpaceDE/>
              <w:autoSpaceDN/>
              <w:bidi w:val="0"/>
              <w:adjustRightInd/>
              <w:snapToGrid/>
              <w:ind w:firstLine="480" w:firstLineChars="200"/>
              <w:jc w:val="center"/>
              <w:textAlignment w:val="auto"/>
              <w:rPr>
                <w:rFonts w:hint="default" w:eastAsiaTheme="minorEastAsia"/>
                <w:lang w:val="en-US" w:eastAsia="zh-CN"/>
              </w:rPr>
            </w:pPr>
            <w:r>
              <w:rPr>
                <w:rFonts w:hint="eastAsia" w:ascii="宋体" w:hAnsi="宋体" w:eastAsia="宋体" w:cs="宋体"/>
                <w:sz w:val="24"/>
                <w:szCs w:val="24"/>
                <w:lang w:val="en-US" w:eastAsia="zh-CN"/>
              </w:rPr>
              <w:t>第三方监督评估机构</w:t>
            </w:r>
          </w:p>
        </w:tc>
      </w:tr>
      <w:tr w14:paraId="3866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Merge w:val="continue"/>
            <w:vAlign w:val="center"/>
          </w:tcPr>
          <w:p w14:paraId="6A7F5872">
            <w:pPr>
              <w:jc w:val="center"/>
              <w:rPr>
                <w:sz w:val="24"/>
                <w:szCs w:val="24"/>
                <w:vertAlign w:val="baseline"/>
              </w:rPr>
            </w:pPr>
          </w:p>
        </w:tc>
        <w:tc>
          <w:tcPr>
            <w:tcW w:w="1485" w:type="dxa"/>
            <w:vAlign w:val="center"/>
          </w:tcPr>
          <w:p w14:paraId="4953B6FF">
            <w:pPr>
              <w:keepNext w:val="0"/>
              <w:keepLines w:val="0"/>
              <w:widowControl/>
              <w:suppressLineNumbers w:val="0"/>
              <w:jc w:val="center"/>
              <w:rPr>
                <w:sz w:val="24"/>
                <w:szCs w:val="24"/>
                <w:vertAlign w:val="baseline"/>
              </w:rPr>
            </w:pPr>
            <w:r>
              <w:rPr>
                <w:rFonts w:ascii="微软雅黑" w:hAnsi="微软雅黑" w:eastAsia="微软雅黑" w:cs="微软雅黑"/>
                <w:b/>
                <w:bCs/>
                <w:color w:val="080808"/>
                <w:kern w:val="0"/>
                <w:sz w:val="24"/>
                <w:szCs w:val="24"/>
                <w:lang w:val="en-US" w:eastAsia="zh-CN" w:bidi="ar"/>
              </w:rPr>
              <w:t>责任内容</w:t>
            </w:r>
          </w:p>
        </w:tc>
        <w:tc>
          <w:tcPr>
            <w:tcW w:w="8220" w:type="dxa"/>
            <w:vAlign w:val="center"/>
          </w:tcPr>
          <w:p w14:paraId="5F311B86">
            <w:pPr>
              <w:keepNext w:val="0"/>
              <w:keepLines w:val="0"/>
              <w:pageBreakBefore w:val="0"/>
              <w:kinsoku/>
              <w:wordWrap/>
              <w:overflowPunct/>
              <w:topLinePunct w:val="0"/>
              <w:autoSpaceDE/>
              <w:autoSpaceDN/>
              <w:bidi w:val="0"/>
              <w:adjustRightInd/>
              <w:snapToGrid/>
              <w:ind w:firstLine="480" w:firstLineChars="200"/>
              <w:jc w:val="center"/>
              <w:textAlignment w:val="auto"/>
              <w:rPr>
                <w:rFonts w:hint="eastAsia"/>
                <w:lang w:val="en-US" w:eastAsia="zh-CN"/>
              </w:rPr>
            </w:pPr>
            <w:r>
              <w:rPr>
                <w:rFonts w:ascii="宋体" w:hAnsi="宋体" w:eastAsia="宋体" w:cs="宋体"/>
                <w:sz w:val="24"/>
                <w:szCs w:val="24"/>
              </w:rPr>
              <w:t>遗产监测、年度报告、风险防控、考核评估</w:t>
            </w:r>
          </w:p>
        </w:tc>
      </w:tr>
    </w:tbl>
    <w:p w14:paraId="613457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4088DA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2CBE1F3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0B3AEF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sectPr>
      <w:footerReference r:id="rId4" w:type="default"/>
      <w:pgSz w:w="11906" w:h="16838"/>
      <w:pgMar w:top="1440" w:right="1800" w:bottom="1440" w:left="1800"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PingFang SC Regular">
    <w:altName w:val="宋体"/>
    <w:panose1 w:val="020B0400000000000000"/>
    <w:charset w:val="86"/>
    <w:family w:val="swiss"/>
    <w:pitch w:val="default"/>
    <w:sig w:usb0="00000000" w:usb1="00000000" w:usb2="00000017"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A583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301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B2B88">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FB2B88">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2EAF4"/>
    <w:multiLevelType w:val="singleLevel"/>
    <w:tmpl w:val="93B2EAF4"/>
    <w:lvl w:ilvl="0" w:tentative="0">
      <w:start w:val="3"/>
      <w:numFmt w:val="chineseCounting"/>
      <w:suff w:val="nothing"/>
      <w:lvlText w:val="%1、"/>
      <w:lvlJc w:val="left"/>
      <w:rPr>
        <w:rFonts w:hint="eastAsia"/>
      </w:rPr>
    </w:lvl>
  </w:abstractNum>
  <w:abstractNum w:abstractNumId="1">
    <w:nsid w:val="D23E0BCB"/>
    <w:multiLevelType w:val="multilevel"/>
    <w:tmpl w:val="D23E0BCB"/>
    <w:lvl w:ilvl="0" w:tentative="0">
      <w:start w:val="1"/>
      <w:numFmt w:val="chineseCounting"/>
      <w:suff w:val="nothing"/>
      <w:lvlText w:val="%1、"/>
      <w:lvlJc w:val="left"/>
      <w:pPr>
        <w:ind w:left="64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default" w:ascii="Times New Roman" w:hAnsi="Times New Roman" w:cs="Times New Roman"/>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5"/>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213A54FF"/>
    <w:multiLevelType w:val="singleLevel"/>
    <w:tmpl w:val="213A54FF"/>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0E3E06"/>
    <w:rsid w:val="05203A4A"/>
    <w:rsid w:val="086744FF"/>
    <w:rsid w:val="09CA7F7C"/>
    <w:rsid w:val="0CC37ADF"/>
    <w:rsid w:val="0E574D87"/>
    <w:rsid w:val="13DC1D21"/>
    <w:rsid w:val="15D053FA"/>
    <w:rsid w:val="19647942"/>
    <w:rsid w:val="1A9E21D0"/>
    <w:rsid w:val="1D340B84"/>
    <w:rsid w:val="208E6144"/>
    <w:rsid w:val="230B1436"/>
    <w:rsid w:val="24311EAA"/>
    <w:rsid w:val="249F0551"/>
    <w:rsid w:val="257E4D49"/>
    <w:rsid w:val="270F0CF7"/>
    <w:rsid w:val="284940F1"/>
    <w:rsid w:val="2B4F70BA"/>
    <w:rsid w:val="2B9E6431"/>
    <w:rsid w:val="2CEE511F"/>
    <w:rsid w:val="2D660F0B"/>
    <w:rsid w:val="2DC86EF3"/>
    <w:rsid w:val="2E17751B"/>
    <w:rsid w:val="2E545CF4"/>
    <w:rsid w:val="2EB81D89"/>
    <w:rsid w:val="30037B02"/>
    <w:rsid w:val="31415CBC"/>
    <w:rsid w:val="33AF102A"/>
    <w:rsid w:val="37BF718F"/>
    <w:rsid w:val="38996C55"/>
    <w:rsid w:val="38C137A7"/>
    <w:rsid w:val="3949126A"/>
    <w:rsid w:val="39E14463"/>
    <w:rsid w:val="3E294A20"/>
    <w:rsid w:val="40794158"/>
    <w:rsid w:val="40FA13A7"/>
    <w:rsid w:val="41720011"/>
    <w:rsid w:val="42A1254A"/>
    <w:rsid w:val="451F11BF"/>
    <w:rsid w:val="46024FFD"/>
    <w:rsid w:val="474E516A"/>
    <w:rsid w:val="48AC5E08"/>
    <w:rsid w:val="4F1B55B0"/>
    <w:rsid w:val="4FBE1A3F"/>
    <w:rsid w:val="55E874E3"/>
    <w:rsid w:val="596B4342"/>
    <w:rsid w:val="59747B68"/>
    <w:rsid w:val="5AD12813"/>
    <w:rsid w:val="5D200628"/>
    <w:rsid w:val="5D2608A7"/>
    <w:rsid w:val="5D9E4316"/>
    <w:rsid w:val="5DF158B5"/>
    <w:rsid w:val="5FE72693"/>
    <w:rsid w:val="62555FEF"/>
    <w:rsid w:val="63A0279E"/>
    <w:rsid w:val="63B91A92"/>
    <w:rsid w:val="65F94B59"/>
    <w:rsid w:val="67BD1F03"/>
    <w:rsid w:val="6B183A36"/>
    <w:rsid w:val="6BDE1F57"/>
    <w:rsid w:val="721D26F3"/>
    <w:rsid w:val="722A12B4"/>
    <w:rsid w:val="73AA26AC"/>
    <w:rsid w:val="745A6205"/>
    <w:rsid w:val="76DA690B"/>
    <w:rsid w:val="78A31F75"/>
    <w:rsid w:val="7906560B"/>
    <w:rsid w:val="7A6E4BA7"/>
    <w:rsid w:val="7C950585"/>
    <w:rsid w:val="7DFA10E0"/>
    <w:rsid w:val="7EFE25E6"/>
    <w:rsid w:val="BEF77CC8"/>
    <w:rsid w:val="D5B718BA"/>
    <w:rsid w:val="EBF7E06A"/>
    <w:rsid w:val="FEFF8F7D"/>
    <w:rsid w:val="FF3EA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6"/>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27"/>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99"/>
    <w:pPr>
      <w:ind w:firstLine="420" w:firstLineChars="200"/>
    </w:pPr>
  </w:style>
  <w:style w:type="paragraph" w:styleId="7">
    <w:name w:val="Body Text"/>
    <w:basedOn w:val="1"/>
    <w:qFormat/>
    <w:uiPriority w:val="99"/>
    <w:pPr>
      <w:spacing w:after="120"/>
    </w:pPr>
  </w:style>
  <w:style w:type="paragraph" w:styleId="8">
    <w:name w:val="Body Text Indent"/>
    <w:basedOn w:val="1"/>
    <w:qFormat/>
    <w:uiPriority w:val="0"/>
    <w:pPr>
      <w:spacing w:after="120" w:afterLines="0" w:afterAutospacing="0"/>
      <w:ind w:left="420" w:leftChars="200"/>
    </w:pPr>
  </w:style>
  <w:style w:type="paragraph" w:styleId="9">
    <w:name w:val="toc 5"/>
    <w:basedOn w:val="1"/>
    <w:next w:val="1"/>
    <w:qFormat/>
    <w:uiPriority w:val="39"/>
    <w:pPr>
      <w:ind w:left="1680" w:leftChars="800"/>
    </w:p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Body Text First Indent 2"/>
    <w:basedOn w:val="8"/>
    <w:qFormat/>
    <w:uiPriority w:val="99"/>
    <w:pPr>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paragraph" w:customStyle="1" w:styleId="22">
    <w:name w:val="默认"/>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PingFang SC Regular" w:cs="Arial Unicode MS"/>
      <w:color w:val="000000"/>
      <w:sz w:val="24"/>
      <w:szCs w:val="24"/>
      <w:lang w:val="ja-JP" w:eastAsia="ja-JP" w:bidi="ar-SA"/>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WPSOffice手动目录 3"/>
    <w:qFormat/>
    <w:uiPriority w:val="0"/>
    <w:pPr>
      <w:ind w:leftChars="400"/>
    </w:pPr>
    <w:rPr>
      <w:rFonts w:ascii="Times New Roman" w:hAnsi="Times New Roman" w:eastAsia="宋体" w:cs="Times New Roman"/>
      <w:sz w:val="20"/>
      <w:szCs w:val="20"/>
    </w:rPr>
  </w:style>
  <w:style w:type="character" w:customStyle="1" w:styleId="26">
    <w:name w:val="标题 2 Char"/>
    <w:link w:val="3"/>
    <w:qFormat/>
    <w:uiPriority w:val="0"/>
    <w:rPr>
      <w:rFonts w:hint="eastAsia" w:ascii="宋体" w:hAnsi="宋体" w:eastAsia="宋体" w:cs="宋体"/>
      <w:b/>
      <w:bCs/>
      <w:kern w:val="0"/>
      <w:sz w:val="36"/>
      <w:szCs w:val="36"/>
      <w:lang w:val="en-US" w:eastAsia="zh-CN" w:bidi="ar"/>
    </w:rPr>
  </w:style>
  <w:style w:type="character" w:customStyle="1" w:styleId="27">
    <w:name w:val="标题 3 Char"/>
    <w:link w:val="4"/>
    <w:qFormat/>
    <w:uiPriority w:val="0"/>
    <w:rPr>
      <w:rFonts w:hint="eastAsia" w:ascii="宋体" w:hAnsi="宋体" w:eastAsia="宋体" w:cs="宋体"/>
      <w:b/>
      <w:bCs/>
      <w:kern w:val="0"/>
      <w:sz w:val="27"/>
      <w:szCs w:val="27"/>
      <w:lang w:val="en-US" w:eastAsia="zh-CN" w:bidi="ar"/>
    </w:rPr>
  </w:style>
  <w:style w:type="character" w:customStyle="1" w:styleId="28">
    <w:name w:val="标题 1 Char"/>
    <w:link w:val="2"/>
    <w:qFormat/>
    <w:uiPriority w:val="0"/>
    <w:rPr>
      <w:b/>
      <w:kern w:val="44"/>
      <w:sz w:val="44"/>
    </w:rPr>
  </w:style>
  <w:style w:type="paragraph" w:customStyle="1" w:styleId="29">
    <w:name w:val="引文目录1"/>
    <w:basedOn w:val="1"/>
    <w:next w:val="1"/>
    <w:qFormat/>
    <w:uiPriority w:val="0"/>
    <w:pPr>
      <w:ind w:left="420" w:leftChars="200"/>
    </w:pPr>
    <w:rPr>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p\C:\home\gp\C:\home\gp\Normal.wp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9581</Words>
  <Characters>10298</Characters>
  <Lines>0</Lines>
  <Paragraphs>0</Paragraphs>
  <TotalTime>7</TotalTime>
  <ScaleCrop>false</ScaleCrop>
  <LinksUpToDate>false</LinksUpToDate>
  <CharactersWithSpaces>10424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2026-02-25T01:11:00Z</dcterms:created>
  <dc:creator>梦雨</dc:creator>
  <cp:lastModifiedBy>WPS_1669085731</cp:lastModifiedBy>
  <dcterms:modified xsi:type="dcterms:W3CDTF">2026-03-17T08:51:20Z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2C602F6681E14489A3FCFDF336ADC85C_13</vt:lpwstr>
  </property>
  <property fmtid="{D5CDD505-2E9C-101B-9397-08002B2CF9AE}" pid="4" name="KSOTemplateDocerSaveRecord">
    <vt:lpwstr>eyJoZGlkIjoiNzRhN2Y2MWU0ODc5NTAwOTBjOWExZWFmNzEzYzFjYjMiLCJ1c2VySWQiOiIxNDQ1Njk0MjYwIn0=</vt:lpwstr>
  </property>
</Properties>
</file>