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C0B62">
      <w:pPr>
        <w:topLinePunct/>
        <w:spacing w:line="520" w:lineRule="exact"/>
        <w:ind w:firstLine="640" w:firstLineChars="200"/>
        <w:rPr>
          <w:rFonts w:hint="eastAsia" w:ascii="仿宋_GB2312" w:eastAsia="仿宋_GB2312"/>
          <w:color w:val="000000"/>
          <w:sz w:val="28"/>
          <w:szCs w:val="28"/>
        </w:rPr>
      </w:pPr>
      <w:r>
        <w:rPr>
          <w:rFonts w:hint="eastAsia" w:ascii="仿宋_GB2312" w:eastAsia="仿宋_GB2312"/>
          <w:sz w:val="32"/>
          <w:szCs w:val="32"/>
        </w:rPr>
        <w:t xml:space="preserve"> </w:t>
      </w:r>
    </w:p>
    <w:p w14:paraId="263DD945">
      <w:pPr>
        <w:topLinePunct/>
        <w:spacing w:line="520" w:lineRule="exact"/>
        <w:ind w:firstLine="420" w:firstLineChars="200"/>
        <w:rPr>
          <w:rFonts w:hint="eastAsia" w:ascii="仿宋_GB2312" w:eastAsia="仿宋_GB2312"/>
          <w:color w:val="000000"/>
        </w:rPr>
      </w:pPr>
    </w:p>
    <w:p w14:paraId="276CB9C5">
      <w:pPr>
        <w:topLinePunct/>
        <w:spacing w:line="520" w:lineRule="exact"/>
        <w:ind w:firstLine="420" w:firstLineChars="200"/>
        <w:rPr>
          <w:rFonts w:hint="eastAsia" w:ascii="仿宋_GB2312" w:eastAsia="仿宋_GB2312"/>
          <w:color w:val="000000"/>
        </w:rPr>
      </w:pPr>
    </w:p>
    <w:p w14:paraId="458F149C">
      <w:pPr>
        <w:keepNext w:val="0"/>
        <w:keepLines w:val="0"/>
        <w:pageBreakBefore w:val="0"/>
        <w:widowControl w:val="0"/>
        <w:kinsoku/>
        <w:wordWrap/>
        <w:overflowPunct/>
        <w:topLinePunct/>
        <w:autoSpaceDE/>
        <w:autoSpaceDN/>
        <w:bidi w:val="0"/>
        <w:adjustRightInd/>
        <w:snapToGrid/>
        <w:spacing w:before="0" w:beforeLines="0" w:after="0" w:afterLines="0" w:line="560" w:lineRule="exact"/>
        <w:ind w:left="0" w:leftChars="0" w:right="0" w:rightChars="0" w:firstLine="420" w:firstLineChars="200"/>
        <w:jc w:val="both"/>
        <w:textAlignment w:val="auto"/>
        <w:outlineLvl w:val="9"/>
        <w:rPr>
          <w:rFonts w:hint="eastAsia" w:ascii="仿宋_GB2312" w:eastAsia="仿宋_GB2312"/>
          <w:color w:val="000000"/>
        </w:rPr>
      </w:pPr>
    </w:p>
    <w:p w14:paraId="1AEA81B9">
      <w:pPr>
        <w:topLinePunct/>
        <w:spacing w:line="560" w:lineRule="exact"/>
        <w:ind w:firstLine="420" w:firstLineChars="200"/>
        <w:rPr>
          <w:rFonts w:hint="eastAsia" w:ascii="仿宋_GB2312" w:eastAsia="仿宋_GB2312"/>
          <w:color w:val="000000"/>
        </w:rPr>
      </w:pPr>
    </w:p>
    <w:p w14:paraId="101412C5">
      <w:pPr>
        <w:topLinePunct/>
        <w:spacing w:line="540" w:lineRule="exact"/>
        <w:ind w:firstLine="420" w:firstLineChars="200"/>
        <w:rPr>
          <w:rFonts w:hint="eastAsia" w:ascii="仿宋_GB2312" w:eastAsia="仿宋_GB2312"/>
          <w:color w:val="000000"/>
        </w:rPr>
      </w:pPr>
    </w:p>
    <w:p w14:paraId="1F6C05A6">
      <w:pPr>
        <w:keepNext w:val="0"/>
        <w:keepLines w:val="0"/>
        <w:pageBreakBefore w:val="0"/>
        <w:widowControl w:val="0"/>
        <w:kinsoku/>
        <w:wordWrap/>
        <w:overflowPunct/>
        <w:topLinePunct/>
        <w:autoSpaceDE/>
        <w:autoSpaceDN/>
        <w:bidi w:val="0"/>
        <w:adjustRightInd/>
        <w:snapToGrid/>
        <w:spacing w:before="0" w:beforeLines="0" w:after="0" w:afterLines="0" w:line="700" w:lineRule="exact"/>
        <w:ind w:left="0" w:leftChars="0" w:right="0" w:rightChars="0" w:firstLine="0" w:firstLineChars="0"/>
        <w:jc w:val="both"/>
        <w:textAlignment w:val="auto"/>
        <w:outlineLvl w:val="9"/>
        <w:rPr>
          <w:rFonts w:hint="eastAsia" w:ascii="仿宋_GB2312" w:eastAsia="仿宋_GB2312"/>
          <w:color w:val="000000"/>
        </w:rPr>
      </w:pPr>
      <w:r>
        <w:rPr>
          <w:rFonts w:hint="eastAsia" w:ascii="仿宋_GB2312" w:eastAsia="仿宋_GB2312"/>
          <w:color w:val="000000"/>
        </w:rPr>
        <w:t xml:space="preserve"> </w:t>
      </w:r>
    </w:p>
    <w:p w14:paraId="5600F37A">
      <w:pPr>
        <w:topLinePunct/>
        <w:spacing w:line="400" w:lineRule="exact"/>
        <w:jc w:val="center"/>
        <w:rPr>
          <w:rFonts w:hint="eastAsia" w:ascii="楷体_GB2312" w:eastAsia="楷体_GB2312"/>
          <w:color w:val="000000"/>
          <w:sz w:val="32"/>
          <w:szCs w:val="32"/>
        </w:rPr>
      </w:pPr>
      <w:r>
        <w:rPr>
          <w:rFonts w:hint="eastAsia" w:ascii="仿宋_GB2312" w:eastAsia="仿宋_GB2312"/>
          <w:sz w:val="32"/>
          <w:szCs w:val="32"/>
        </w:rPr>
        <w:t>高农</w:t>
      </w:r>
      <w:r>
        <w:rPr>
          <w:rFonts w:hint="eastAsia" w:ascii="仿宋_GB2312" w:eastAsia="仿宋_GB2312"/>
          <w:sz w:val="32"/>
          <w:szCs w:val="32"/>
          <w:lang w:eastAsia="zh-CN"/>
        </w:rPr>
        <w:t>（计）发</w:t>
      </w:r>
      <w:r>
        <w:rPr>
          <w:rFonts w:hint="eastAsia" w:ascii="仿宋_GB2312" w:eastAsia="仿宋_GB2312"/>
          <w:sz w:val="32"/>
          <w:szCs w:val="32"/>
        </w:rPr>
        <w:t>〔20</w:t>
      </w:r>
      <w:r>
        <w:rPr>
          <w:rFonts w:hint="eastAsia" w:ascii="仿宋_GB2312" w:eastAsia="仿宋_GB2312"/>
          <w:sz w:val="32"/>
          <w:szCs w:val="32"/>
          <w:lang w:val="en-US" w:eastAsia="zh-CN"/>
        </w:rPr>
        <w:t>26</w:t>
      </w:r>
      <w:r>
        <w:rPr>
          <w:rFonts w:hint="eastAsia" w:ascii="仿宋_GB2312" w:eastAsia="仿宋_GB2312"/>
          <w:sz w:val="32"/>
          <w:szCs w:val="32"/>
        </w:rPr>
        <w:t>〕</w:t>
      </w:r>
      <w:r>
        <w:rPr>
          <w:rFonts w:hint="eastAsia" w:ascii="仿宋_GB2312" w:eastAsia="仿宋_GB2312"/>
          <w:sz w:val="32"/>
          <w:szCs w:val="32"/>
          <w:lang w:val="en-US" w:eastAsia="zh-CN"/>
        </w:rPr>
        <w:t>15</w:t>
      </w:r>
      <w:r>
        <w:rPr>
          <w:rFonts w:hint="eastAsia" w:ascii="仿宋_GB2312" w:eastAsia="仿宋_GB2312"/>
          <w:sz w:val="32"/>
          <w:szCs w:val="32"/>
        </w:rPr>
        <w:t>号</w:t>
      </w:r>
    </w:p>
    <w:p w14:paraId="3A0C830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right="0" w:rightChars="0" w:firstLine="0" w:firstLineChars="0"/>
        <w:jc w:val="both"/>
        <w:textAlignment w:val="auto"/>
        <w:outlineLvl w:val="9"/>
        <w:rPr>
          <w:rFonts w:hint="eastAsia"/>
        </w:rPr>
      </w:pPr>
    </w:p>
    <w:p w14:paraId="5AD9E062">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高平市农业农村局</w:t>
      </w:r>
    </w:p>
    <w:p w14:paraId="43F15227">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简体" w:hAnsi="方正小标宋简体" w:eastAsia="方正小标宋简体" w:cs="方正小标宋简体"/>
          <w:sz w:val="44"/>
          <w:szCs w:val="44"/>
          <w:lang w:val="en-US" w:eastAsia="zh-CN"/>
        </w:rPr>
        <w:t>关于下达2026年中央农业防灾减灾和水利救灾资金（中央防灾救灾第二批）的通知</w:t>
      </w:r>
    </w:p>
    <w:p w14:paraId="5232D7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03A885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各乡（镇）人民政府、各街道办事处：</w:t>
      </w:r>
    </w:p>
    <w:p w14:paraId="683099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根据《高平市财政局关于下达2026年中央农业防灾减灾和水利救灾资金（中央防灾救灾第二批）预算指标的通知》（高财农〔2026〕33号）中央下达我市农业防灾减灾和水利救灾第二批资金23万元，资金主要用于支持开展玉米、谷子等粮食作物重大病虫疫情及农区蝗虫防控所需的物资材料及作业服务补助，包括购买药剂、药械、燃油费用、误工费用等支出。</w:t>
      </w:r>
      <w:r>
        <w:rPr>
          <w:rFonts w:hint="eastAsia" w:ascii="仿宋_GB2312" w:hAnsi="仿宋_GB2312" w:eastAsia="仿宋_GB2312" w:cs="仿宋_GB2312"/>
          <w:sz w:val="32"/>
          <w:szCs w:val="32"/>
          <w:lang w:val="en-US" w:eastAsia="zh-CN"/>
        </w:rPr>
        <w:t>请各乡（镇、办事处）严格按照相关资金管理办法要求，严格资金管理，不得擅自扩大支出范围，不得以任何形式挤占、挪用、截留和滞留，不得从中列支工作经费。</w:t>
      </w:r>
    </w:p>
    <w:p w14:paraId="3F320C6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40"/>
          <w:lang w:val="en-US" w:eastAsia="zh-CN"/>
        </w:rPr>
        <w:t>请各乡（镇、办事处）接文后尽快按照文件要求落实，并填报附件《</w:t>
      </w:r>
      <w:r>
        <w:rPr>
          <w:rFonts w:hint="eastAsia" w:ascii="仿宋_GB2312" w:hAnsi="仿宋_GB2312" w:eastAsia="仿宋_GB2312" w:cs="仿宋_GB2312"/>
          <w:sz w:val="32"/>
          <w:szCs w:val="32"/>
          <w:lang w:val="en-US" w:eastAsia="zh-CN"/>
        </w:rPr>
        <w:t>2026年中央农业防灾减灾和水利救灾资金第二批使用情况表</w:t>
      </w:r>
      <w:r>
        <w:rPr>
          <w:rFonts w:hint="eastAsia" w:ascii="仿宋_GB2312" w:hAnsi="仿宋_GB2312" w:eastAsia="仿宋_GB2312" w:cs="仿宋_GB2312"/>
          <w:sz w:val="32"/>
          <w:szCs w:val="40"/>
          <w:lang w:val="en-US" w:eastAsia="zh-CN"/>
        </w:rPr>
        <w:t>》，报市农业农村局备案。</w:t>
      </w:r>
    </w:p>
    <w:p w14:paraId="6C1EF825">
      <w:pPr>
        <w:keepNext w:val="0"/>
        <w:keepLines w:val="0"/>
        <w:pageBreakBefore w:val="0"/>
        <w:widowControl w:val="0"/>
        <w:kinsoku/>
        <w:wordWrap/>
        <w:overflowPunct/>
        <w:topLinePunct w:val="0"/>
        <w:autoSpaceDE/>
        <w:autoSpaceDN/>
        <w:bidi w:val="0"/>
        <w:adjustRightInd/>
        <w:snapToGrid/>
        <w:spacing w:line="560" w:lineRule="exact"/>
        <w:ind w:left="1918" w:leftChars="304" w:hanging="1280" w:hangingChars="400"/>
        <w:textAlignment w:val="auto"/>
        <w:rPr>
          <w:rFonts w:hint="eastAsia" w:ascii="仿宋_GB2312" w:hAnsi="仿宋_GB2312" w:eastAsia="仿宋_GB2312" w:cs="仿宋_GB2312"/>
          <w:sz w:val="32"/>
          <w:szCs w:val="32"/>
          <w:lang w:val="en-US" w:eastAsia="zh-CN"/>
        </w:rPr>
      </w:pPr>
    </w:p>
    <w:p w14:paraId="12D9829A">
      <w:pPr>
        <w:keepNext w:val="0"/>
        <w:keepLines w:val="0"/>
        <w:pageBreakBefore w:val="0"/>
        <w:widowControl w:val="0"/>
        <w:kinsoku/>
        <w:wordWrap/>
        <w:overflowPunct/>
        <w:topLinePunct w:val="0"/>
        <w:autoSpaceDE/>
        <w:autoSpaceDN/>
        <w:bidi w:val="0"/>
        <w:adjustRightInd/>
        <w:snapToGrid/>
        <w:spacing w:line="560" w:lineRule="exact"/>
        <w:ind w:left="1918" w:leftChars="304" w:hanging="1280" w:hanging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附件：1.2026年中央农业防灾减灾和水利救灾资金第二批作业面积及资金分配表</w:t>
      </w:r>
    </w:p>
    <w:p w14:paraId="08DAB357">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2.2026年中央农业防灾减灾和水利救灾资金第二批使用情况表</w:t>
      </w:r>
    </w:p>
    <w:p w14:paraId="59B090BE">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_GB2312" w:hAnsi="仿宋_GB2312" w:eastAsia="仿宋_GB2312" w:cs="仿宋_GB2312"/>
          <w:sz w:val="32"/>
          <w:szCs w:val="32"/>
          <w:lang w:val="en-US" w:eastAsia="zh-CN"/>
        </w:rPr>
      </w:pPr>
    </w:p>
    <w:p w14:paraId="2836E17C">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584425CE">
      <w:pPr>
        <w:keepNext w:val="0"/>
        <w:keepLines w:val="0"/>
        <w:pageBreakBefore w:val="0"/>
        <w:widowControl w:val="0"/>
        <w:kinsoku/>
        <w:wordWrap w:val="0"/>
        <w:overflowPunct/>
        <w:topLinePunct w:val="0"/>
        <w:autoSpaceDE/>
        <w:autoSpaceDN/>
        <w:bidi w:val="0"/>
        <w:adjustRightInd/>
        <w:snapToGrid/>
        <w:spacing w:line="560" w:lineRule="exact"/>
        <w:ind w:left="1915" w:leftChars="912" w:firstLine="2240" w:firstLineChars="7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高平市农业农村局       </w:t>
      </w:r>
    </w:p>
    <w:p w14:paraId="028DDAAC">
      <w:pPr>
        <w:keepNext w:val="0"/>
        <w:keepLines w:val="0"/>
        <w:pageBreakBefore w:val="0"/>
        <w:widowControl w:val="0"/>
        <w:kinsoku/>
        <w:wordWrap w:val="0"/>
        <w:overflowPunct/>
        <w:topLinePunct w:val="0"/>
        <w:autoSpaceDE/>
        <w:autoSpaceDN/>
        <w:bidi w:val="0"/>
        <w:adjustRightInd/>
        <w:snapToGrid/>
        <w:spacing w:line="560" w:lineRule="exact"/>
        <w:ind w:left="1915" w:leftChars="912" w:firstLine="2240" w:firstLineChars="7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2026年6月29日       </w:t>
      </w:r>
    </w:p>
    <w:p w14:paraId="59D069DC"/>
    <w:p w14:paraId="0354534A">
      <w:pPr>
        <w:pStyle w:val="2"/>
      </w:pPr>
    </w:p>
    <w:p w14:paraId="280E4220">
      <w:pPr>
        <w:pStyle w:val="2"/>
      </w:pPr>
    </w:p>
    <w:p w14:paraId="39993995">
      <w:pPr>
        <w:pStyle w:val="2"/>
      </w:pPr>
    </w:p>
    <w:p w14:paraId="58464B20">
      <w:pPr>
        <w:pStyle w:val="2"/>
      </w:pPr>
    </w:p>
    <w:p w14:paraId="222CE958">
      <w:pPr>
        <w:pStyle w:val="2"/>
      </w:pPr>
    </w:p>
    <w:p w14:paraId="26B5850D">
      <w:pPr>
        <w:pStyle w:val="2"/>
      </w:pPr>
    </w:p>
    <w:p w14:paraId="60EBB4DE">
      <w:pPr>
        <w:pStyle w:val="2"/>
      </w:pPr>
    </w:p>
    <w:p w14:paraId="5B1DFD8B">
      <w:pPr>
        <w:pStyle w:val="2"/>
      </w:pPr>
    </w:p>
    <w:p w14:paraId="2FF14819">
      <w:pPr>
        <w:pStyle w:val="2"/>
      </w:pPr>
    </w:p>
    <w:p w14:paraId="1E5ECAC6">
      <w:pPr>
        <w:pStyle w:val="2"/>
      </w:pPr>
    </w:p>
    <w:p w14:paraId="7D1710FA">
      <w:pPr>
        <w:pStyle w:val="2"/>
      </w:pPr>
    </w:p>
    <w:p w14:paraId="00256ED1">
      <w:pPr>
        <w:pStyle w:val="2"/>
      </w:pPr>
    </w:p>
    <w:p w14:paraId="51A7D156">
      <w:pPr>
        <w:pStyle w:val="2"/>
      </w:pPr>
    </w:p>
    <w:p w14:paraId="7EAB58A1">
      <w:pPr>
        <w:pStyle w:val="2"/>
      </w:pPr>
    </w:p>
    <w:p w14:paraId="7BE55102">
      <w:pPr>
        <w:pStyle w:val="2"/>
      </w:pPr>
    </w:p>
    <w:p w14:paraId="74393289">
      <w:pPr>
        <w:pStyle w:val="2"/>
      </w:pPr>
    </w:p>
    <w:p w14:paraId="687AD4F5">
      <w:pPr>
        <w:pStyle w:val="2"/>
      </w:pPr>
    </w:p>
    <w:p w14:paraId="72F88BA4">
      <w:pPr>
        <w:pStyle w:val="2"/>
      </w:pPr>
    </w:p>
    <w:p w14:paraId="5CAD9621">
      <w:pPr>
        <w:spacing w:line="800" w:lineRule="exact"/>
        <w:jc w:val="left"/>
        <w:rPr>
          <w:rFonts w:ascii="Times New Roman" w:eastAsia="仿宋_GB2312"/>
          <w:sz w:val="28"/>
          <w:szCs w:val="28"/>
        </w:rPr>
      </w:pPr>
    </w:p>
    <w:p w14:paraId="7FFCEDD9">
      <w:pPr>
        <w:spacing w:line="800" w:lineRule="exact"/>
        <w:jc w:val="left"/>
        <w:rPr>
          <w:rFonts w:ascii="Times New Roman" w:eastAsia="仿宋_GB2312"/>
          <w:sz w:val="28"/>
          <w:szCs w:val="28"/>
        </w:rPr>
      </w:pPr>
    </w:p>
    <w:p w14:paraId="479324CD">
      <w:pPr>
        <w:spacing w:line="800" w:lineRule="exact"/>
        <w:jc w:val="left"/>
        <w:rPr>
          <w:rFonts w:ascii="Times New Roman" w:eastAsia="仿宋_GB2312"/>
          <w:sz w:val="28"/>
          <w:szCs w:val="28"/>
        </w:rPr>
      </w:pPr>
    </w:p>
    <w:p w14:paraId="79BE79FE">
      <w:pPr>
        <w:spacing w:line="800" w:lineRule="exact"/>
        <w:jc w:val="left"/>
        <w:rPr>
          <w:rFonts w:ascii="Times New Roman" w:eastAsia="仿宋_GB2312"/>
          <w:sz w:val="28"/>
          <w:szCs w:val="28"/>
        </w:rPr>
      </w:pPr>
    </w:p>
    <w:p w14:paraId="13B6D691">
      <w:pPr>
        <w:spacing w:line="800" w:lineRule="exact"/>
        <w:jc w:val="left"/>
        <w:rPr>
          <w:rFonts w:ascii="Times New Roman" w:eastAsia="仿宋_GB2312"/>
          <w:sz w:val="28"/>
          <w:szCs w:val="28"/>
        </w:rPr>
      </w:pPr>
    </w:p>
    <w:p w14:paraId="05E50945">
      <w:pPr>
        <w:spacing w:line="800" w:lineRule="exact"/>
        <w:jc w:val="left"/>
        <w:rPr>
          <w:rFonts w:ascii="Times New Roman" w:eastAsia="仿宋_GB2312"/>
          <w:sz w:val="28"/>
          <w:szCs w:val="28"/>
        </w:rPr>
      </w:pPr>
    </w:p>
    <w:p w14:paraId="05647482">
      <w:pPr>
        <w:spacing w:line="800" w:lineRule="exact"/>
        <w:jc w:val="left"/>
        <w:rPr>
          <w:rFonts w:ascii="Times New Roman" w:eastAsia="仿宋_GB2312"/>
          <w:sz w:val="28"/>
          <w:szCs w:val="28"/>
        </w:rPr>
      </w:pPr>
    </w:p>
    <w:p w14:paraId="17F1D68C">
      <w:pPr>
        <w:spacing w:line="800" w:lineRule="exact"/>
        <w:jc w:val="left"/>
        <w:rPr>
          <w:rFonts w:ascii="Times New Roman" w:eastAsia="仿宋_GB2312"/>
          <w:sz w:val="28"/>
          <w:szCs w:val="28"/>
        </w:rPr>
      </w:pPr>
    </w:p>
    <w:p w14:paraId="61ADCFF8">
      <w:pPr>
        <w:spacing w:line="800" w:lineRule="exact"/>
        <w:jc w:val="left"/>
        <w:rPr>
          <w:rFonts w:ascii="Times New Roman" w:eastAsia="仿宋_GB2312"/>
          <w:sz w:val="28"/>
          <w:szCs w:val="28"/>
        </w:rPr>
      </w:pPr>
    </w:p>
    <w:p w14:paraId="7E2EA5A4">
      <w:pPr>
        <w:spacing w:line="800" w:lineRule="exact"/>
        <w:jc w:val="left"/>
        <w:rPr>
          <w:rFonts w:ascii="Times New Roman" w:eastAsia="仿宋_GB2312"/>
          <w:sz w:val="28"/>
          <w:szCs w:val="28"/>
        </w:rPr>
      </w:pPr>
    </w:p>
    <w:p w14:paraId="132103DA">
      <w:pPr>
        <w:spacing w:line="800" w:lineRule="exact"/>
        <w:jc w:val="left"/>
        <w:rPr>
          <w:rFonts w:ascii="Times New Roman" w:eastAsia="仿宋_GB2312"/>
          <w:sz w:val="28"/>
          <w:szCs w:val="28"/>
        </w:rPr>
      </w:pPr>
    </w:p>
    <w:p w14:paraId="7D0948CB">
      <w:pPr>
        <w:spacing w:line="800" w:lineRule="exact"/>
        <w:jc w:val="left"/>
        <w:rPr>
          <w:rFonts w:ascii="Times New Roman" w:eastAsia="仿宋_GB2312"/>
          <w:sz w:val="28"/>
          <w:szCs w:val="28"/>
        </w:rPr>
      </w:pPr>
    </w:p>
    <w:p w14:paraId="5C06F3A7">
      <w:pPr>
        <w:spacing w:line="800" w:lineRule="exact"/>
        <w:jc w:val="left"/>
        <w:rPr>
          <w:rFonts w:ascii="Times New Roman" w:eastAsia="仿宋_GB2312"/>
          <w:sz w:val="28"/>
          <w:szCs w:val="28"/>
        </w:rPr>
      </w:pPr>
    </w:p>
    <w:p w14:paraId="3AFE7986">
      <w:pPr>
        <w:spacing w:line="800" w:lineRule="exact"/>
        <w:jc w:val="left"/>
        <w:rPr>
          <w:rFonts w:ascii="Times New Roman" w:eastAsia="仿宋_GB2312"/>
          <w:sz w:val="28"/>
          <w:szCs w:val="28"/>
        </w:rPr>
      </w:pPr>
    </w:p>
    <w:p w14:paraId="1A0DC9E3">
      <w:pPr>
        <w:spacing w:line="800" w:lineRule="exact"/>
        <w:jc w:val="left"/>
        <w:rPr>
          <w:rFonts w:hint="eastAsia" w:ascii="仿宋_GB2312" w:eastAsia="仿宋_GB2312"/>
          <w:sz w:val="32"/>
          <w:szCs w:val="32"/>
        </w:rPr>
      </w:pPr>
      <w:r>
        <w:rPr>
          <w:rFonts w:ascii="Times New Roman"/>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160020</wp:posOffset>
                </wp:positionV>
                <wp:extent cx="5615940" cy="10795"/>
                <wp:effectExtent l="0" t="0" r="0" b="0"/>
                <wp:wrapNone/>
                <wp:docPr id="11" name="直接连接符 11"/>
                <wp:cNvGraphicFramePr/>
                <a:graphic xmlns:a="http://schemas.openxmlformats.org/drawingml/2006/main">
                  <a:graphicData uri="http://schemas.microsoft.com/office/word/2010/wordprocessingShape">
                    <wps:wsp>
                      <wps:cNvCnPr/>
                      <wps:spPr>
                        <a:xfrm>
                          <a:off x="0" y="0"/>
                          <a:ext cx="5615940" cy="10795"/>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45pt;margin-top:12.6pt;height:0.85pt;width:442.2pt;z-index:251659264;mso-width-relative:page;mso-height-relative:page;" filled="f" stroked="t" coordsize="21600,21600" o:gfxdata="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b0tD09YAAAAHAQAADwAAAAAAAAABACAAAAAiAAAAZHJzL2Rvd25yZXYu&#10;eG1sUEsBAhQAFAAAAAgAh07iQAgnKSj9AQAA+QMAAA4AAAAAAAAAAQAgAAAAJQEAAGRycy9lMm9E&#10;b2MueG1sUEsFBgAAAAAGAAYAWQEAAJQFAAAAAA==&#10;">
                <v:fill on="f" focussize="0,0"/>
                <v:stroke weight="1pt" color="#000000" joinstyle="round"/>
                <v:imagedata o:title=""/>
                <o:lock v:ext="edit" aspectratio="f"/>
              </v:line>
            </w:pict>
          </mc:Fallback>
        </mc:AlternateContent>
      </w:r>
      <w:r>
        <w:rPr>
          <w:rFonts w:ascii="Times New Roman"/>
        </w:rP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495300</wp:posOffset>
                </wp:positionV>
                <wp:extent cx="5615940" cy="10795"/>
                <wp:effectExtent l="0" t="0" r="0" b="0"/>
                <wp:wrapNone/>
                <wp:docPr id="12" name="直接连接符 12"/>
                <wp:cNvGraphicFramePr/>
                <a:graphic xmlns:a="http://schemas.openxmlformats.org/drawingml/2006/main">
                  <a:graphicData uri="http://schemas.microsoft.com/office/word/2010/wordprocessingShape">
                    <wps:wsp>
                      <wps:cNvCnPr/>
                      <wps:spPr>
                        <a:xfrm flipV="1">
                          <a:off x="0" y="0"/>
                          <a:ext cx="5615940" cy="10795"/>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1.05pt;margin-top:39pt;height:0.85pt;width:442.2pt;z-index:251660288;mso-width-relative:page;mso-height-relative:page;" filled="f" stroked="t" coordsize="21600,21600" o:gfxdata="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xgzMvXAAAABwEAAA8AAAAAAAAAAQAgAAAAIgAAAGRycy9k&#10;b3ducmV2LnhtbFBLAQIUABQAAAAIAIdO4kB3/ZIvAwIAAAMEAAAOAAAAAAAAAAEAIAAAACYBAABk&#10;cnMvZTJvRG9jLnhtbFBLBQYAAAAABgAGAFkBAACbBQAAAAA=&#10;">
                <v:fill on="f" focussize="0,0"/>
                <v:stroke weight="1pt" color="#000000" joinstyle="round"/>
                <v:imagedata o:title=""/>
                <o:lock v:ext="edit" aspectratio="f"/>
              </v:line>
            </w:pict>
          </mc:Fallback>
        </mc:AlternateContent>
      </w:r>
      <w:r>
        <w:rPr>
          <w:rFonts w:ascii="Times New Roman" w:eastAsia="仿宋_GB2312"/>
          <w:sz w:val="28"/>
          <w:szCs w:val="28"/>
        </w:rPr>
        <w:t>高平市农业</w:t>
      </w:r>
      <w:r>
        <w:rPr>
          <w:rFonts w:hint="eastAsia" w:ascii="Times New Roman" w:eastAsia="仿宋_GB2312"/>
          <w:sz w:val="28"/>
          <w:szCs w:val="28"/>
          <w:lang w:eastAsia="zh-CN"/>
        </w:rPr>
        <w:t>农村局</w:t>
      </w:r>
      <w:r>
        <w:rPr>
          <w:rFonts w:ascii="Times New Roman" w:eastAsia="仿宋_GB2312"/>
          <w:sz w:val="28"/>
          <w:szCs w:val="28"/>
        </w:rPr>
        <w:t xml:space="preserve">                       </w:t>
      </w:r>
      <w:r>
        <w:rPr>
          <w:rFonts w:hint="eastAsia" w:ascii="Times New Roman" w:eastAsia="仿宋_GB2312"/>
          <w:sz w:val="28"/>
          <w:szCs w:val="28"/>
        </w:rPr>
        <w:t xml:space="preserve"> </w:t>
      </w:r>
      <w:r>
        <w:rPr>
          <w:rFonts w:ascii="Times New Roman" w:eastAsia="仿宋_GB2312"/>
          <w:sz w:val="28"/>
          <w:szCs w:val="28"/>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lang w:val="en-US" w:eastAsia="zh-CN"/>
        </w:rPr>
        <w:t>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29</w:t>
      </w:r>
      <w:r>
        <w:rPr>
          <w:rFonts w:hint="eastAsia" w:ascii="仿宋_GB2312" w:hAnsi="仿宋_GB2312" w:eastAsia="仿宋_GB2312" w:cs="仿宋_GB2312"/>
          <w:sz w:val="28"/>
          <w:szCs w:val="28"/>
        </w:rPr>
        <w:t>日印发</w:t>
      </w:r>
      <w:r>
        <w:rPr>
          <w:rFonts w:hint="eastAsia" w:ascii="仿宋_GB2312" w:eastAsia="仿宋_GB2312"/>
          <w:sz w:val="32"/>
          <w:szCs w:val="32"/>
        </w:rPr>
        <w:t xml:space="preserve"> </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2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490175"/>
    <w:rsid w:val="254D6603"/>
    <w:rsid w:val="386A079F"/>
    <w:rsid w:val="3C026CDA"/>
    <w:rsid w:val="3FE250D5"/>
    <w:rsid w:val="7E490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428</Words>
  <Characters>456</Characters>
  <Lines>0</Lines>
  <Paragraphs>0</Paragraphs>
  <TotalTime>0</TotalTime>
  <ScaleCrop>false</ScaleCrop>
  <LinksUpToDate>false</LinksUpToDate>
  <CharactersWithSpaces>456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2026-06-29T06:52:00Z</dcterms:created>
  <dc:creator>楠</dc:creator>
  <cp:lastModifiedBy>宋宋呀</cp:lastModifiedBy>
  <cp:lastPrinted>2026-06-29T07:11:00Z</cp:lastPrinted>
  <dcterms:modified xsi:type="dcterms:W3CDTF">2026-06-29T08:41:03Z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eyJoZGlkIjoiZjY0NmM2ZTdiZGZiYjE5NTNiOGI5Mzk2MzI4NDJkMjEiLCJ1c2VySWQiOiIxMjk5MDI5ODYwIn0=</vt:lpwstr>
  </property>
  <property fmtid="{D5CDD505-2E9C-101B-9397-08002B2CF9AE}" pid="4" name="ICV">
    <vt:lpwstr>6FD7E586B505498A9F372693B6A89585_12</vt:lpwstr>
  </property>
</Properties>
</file>