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A8BD31">
      <w:pPr>
        <w:rPr>
          <w:rFonts w:hint="eastAsia" w:ascii="仿宋" w:hAnsi="仿宋" w:eastAsia="仿宋" w:cs="仿宋"/>
          <w:sz w:val="32"/>
          <w:szCs w:val="32"/>
        </w:rPr>
      </w:pPr>
      <w:bookmarkStart w:id="0" w:name="_GoBack"/>
      <w:bookmarkEnd w:id="0"/>
    </w:p>
    <w:p w14:paraId="4A5D56B3">
      <w:pPr>
        <w:spacing w:before="120" w:beforeLines="50" w:after="120" w:afterLines="50" w:line="440" w:lineRule="exact"/>
        <w:jc w:val="center"/>
        <w:rPr>
          <w:rFonts w:eastAsia="华文中宋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种植业产品监测参数</w:t>
      </w:r>
    </w:p>
    <w:tbl>
      <w:tblPr>
        <w:tblStyle w:val="5"/>
        <w:tblpPr w:leftFromText="180" w:rightFromText="180" w:vertAnchor="text" w:horzAnchor="page" w:tblpX="1517" w:tblpY="104"/>
        <w:tblOverlap w:val="never"/>
        <w:tblW w:w="89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1"/>
        <w:gridCol w:w="5620"/>
        <w:gridCol w:w="1967"/>
      </w:tblGrid>
      <w:tr w14:paraId="5919A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371" w:type="dxa"/>
            <w:noWrap w:val="0"/>
            <w:vAlign w:val="center"/>
          </w:tcPr>
          <w:p w14:paraId="0DD6F979">
            <w:pPr>
              <w:jc w:val="center"/>
              <w:rPr>
                <w:rFonts w:ascii="宋体" w:hAnsi="宋体" w:cs="黑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cs="黑体"/>
                <w:b/>
                <w:bCs/>
                <w:sz w:val="28"/>
                <w:szCs w:val="28"/>
              </w:rPr>
              <w:t>农药类别</w:t>
            </w:r>
          </w:p>
        </w:tc>
        <w:tc>
          <w:tcPr>
            <w:tcW w:w="5620" w:type="dxa"/>
            <w:noWrap w:val="0"/>
            <w:vAlign w:val="center"/>
          </w:tcPr>
          <w:p w14:paraId="01A76572">
            <w:pPr>
              <w:jc w:val="center"/>
              <w:rPr>
                <w:rFonts w:ascii="宋体" w:hAnsi="宋体" w:cs="黑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cs="黑体"/>
                <w:b/>
                <w:bCs/>
                <w:sz w:val="28"/>
                <w:szCs w:val="28"/>
              </w:rPr>
              <w:t>监测</w:t>
            </w:r>
            <w:r>
              <w:rPr>
                <w:rFonts w:ascii="宋体" w:hAnsi="宋体" w:cs="黑体"/>
                <w:b/>
                <w:bCs/>
                <w:sz w:val="28"/>
                <w:szCs w:val="28"/>
              </w:rPr>
              <w:t>参数</w:t>
            </w:r>
          </w:p>
        </w:tc>
        <w:tc>
          <w:tcPr>
            <w:tcW w:w="1967" w:type="dxa"/>
            <w:noWrap w:val="0"/>
            <w:vAlign w:val="center"/>
          </w:tcPr>
          <w:p w14:paraId="404C20F4">
            <w:pPr>
              <w:jc w:val="center"/>
              <w:rPr>
                <w:rFonts w:ascii="宋体" w:hAnsi="宋体" w:cs="黑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cs="黑体"/>
                <w:b/>
                <w:bCs/>
                <w:sz w:val="28"/>
                <w:szCs w:val="28"/>
              </w:rPr>
              <w:t>检测方法</w:t>
            </w:r>
          </w:p>
        </w:tc>
      </w:tr>
      <w:tr w14:paraId="55CA49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71" w:type="dxa"/>
            <w:noWrap w:val="0"/>
            <w:vAlign w:val="center"/>
          </w:tcPr>
          <w:p w14:paraId="2A492D72">
            <w:pPr>
              <w:snapToGrid w:val="0"/>
              <w:spacing w:line="440" w:lineRule="exact"/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禁用农药（12种）</w:t>
            </w:r>
          </w:p>
        </w:tc>
        <w:tc>
          <w:tcPr>
            <w:tcW w:w="5620" w:type="dxa"/>
            <w:noWrap w:val="0"/>
            <w:vAlign w:val="center"/>
          </w:tcPr>
          <w:p w14:paraId="6B322F90">
            <w:pPr>
              <w:snapToGrid w:val="0"/>
              <w:spacing w:line="440" w:lineRule="exact"/>
              <w:jc w:val="left"/>
              <w:rPr>
                <w:rFonts w:hint="eastAsia" w:ascii="宋体" w:hAnsi="宋体"/>
                <w:bCs/>
                <w:sz w:val="24"/>
              </w:rPr>
            </w:pPr>
            <w:r>
              <w:rPr>
                <w:rFonts w:ascii="宋体" w:hAnsi="宋体"/>
                <w:sz w:val="24"/>
              </w:rPr>
              <w:t>甲胺磷、对硫磷、甲基对硫磷、六六六、三氯杀螨醇</w:t>
            </w:r>
            <w:r>
              <w:rPr>
                <w:rFonts w:hint="eastAsia" w:ascii="宋体" w:hAnsi="宋体"/>
                <w:sz w:val="24"/>
              </w:rPr>
              <w:t>；</w:t>
            </w:r>
            <w:r>
              <w:rPr>
                <w:rFonts w:ascii="宋体" w:hAnsi="宋体"/>
                <w:sz w:val="24"/>
              </w:rPr>
              <w:t>甲拌磷、水胺硫磷、甲基异柳磷</w:t>
            </w:r>
            <w:r>
              <w:rPr>
                <w:rFonts w:hint="eastAsia" w:ascii="宋体" w:hAnsi="宋体"/>
                <w:sz w:val="24"/>
              </w:rPr>
              <w:t>；</w:t>
            </w:r>
            <w:r>
              <w:rPr>
                <w:rFonts w:ascii="宋体" w:hAnsi="宋体"/>
                <w:sz w:val="24"/>
              </w:rPr>
              <w:t>氧乐果、克百威</w:t>
            </w:r>
            <w:r>
              <w:rPr>
                <w:rFonts w:hint="eastAsia" w:ascii="宋体" w:hAnsi="宋体"/>
                <w:sz w:val="24"/>
              </w:rPr>
              <w:t>（包括3-羟基克百威）</w:t>
            </w:r>
            <w:r>
              <w:rPr>
                <w:rFonts w:ascii="宋体" w:hAnsi="宋体"/>
                <w:sz w:val="24"/>
              </w:rPr>
              <w:t>、涕灭威</w:t>
            </w:r>
            <w:r>
              <w:rPr>
                <w:rFonts w:hint="eastAsia" w:ascii="宋体" w:hAnsi="宋体"/>
                <w:sz w:val="24"/>
              </w:rPr>
              <w:t>（包括涕灭威砜和涕灭威亚砜）</w:t>
            </w:r>
            <w:r>
              <w:rPr>
                <w:rFonts w:ascii="宋体" w:hAnsi="宋体"/>
                <w:sz w:val="24"/>
              </w:rPr>
              <w:t>、灭多威</w:t>
            </w:r>
            <w:r>
              <w:rPr>
                <w:rFonts w:hint="eastAsia" w:ascii="宋体" w:hAnsi="宋体"/>
                <w:sz w:val="24"/>
              </w:rPr>
              <w:t>（2026年6月1日起禁止使用）</w:t>
            </w:r>
          </w:p>
        </w:tc>
        <w:tc>
          <w:tcPr>
            <w:tcW w:w="1967" w:type="dxa"/>
            <w:vMerge w:val="restart"/>
            <w:noWrap w:val="0"/>
            <w:vAlign w:val="center"/>
          </w:tcPr>
          <w:p w14:paraId="2A218C77">
            <w:pPr>
              <w:widowControl/>
              <w:spacing w:line="360" w:lineRule="auto"/>
              <w:ind w:left="105" w:leftChars="50" w:right="105" w:rightChars="50"/>
              <w:jc w:val="center"/>
              <w:rPr>
                <w:rFonts w:ascii="宋体" w:hAnsi="宋体"/>
                <w:kern w:val="1"/>
                <w:sz w:val="18"/>
                <w:szCs w:val="18"/>
                <w:lang w:val="fr-FR"/>
              </w:rPr>
            </w:pPr>
            <w:r>
              <w:rPr>
                <w:rFonts w:hint="eastAsia" w:ascii="宋体" w:hAnsi="宋体"/>
                <w:kern w:val="1"/>
                <w:sz w:val="18"/>
                <w:szCs w:val="18"/>
              </w:rPr>
              <w:t>按</w:t>
            </w:r>
            <w:r>
              <w:rPr>
                <w:rFonts w:ascii="宋体" w:hAnsi="宋体"/>
                <w:kern w:val="1"/>
                <w:sz w:val="18"/>
                <w:szCs w:val="18"/>
                <w:lang w:val="fr-FR"/>
              </w:rPr>
              <w:t>GB/T</w:t>
            </w:r>
            <w:r>
              <w:rPr>
                <w:rFonts w:hint="eastAsia" w:ascii="宋体" w:hAnsi="宋体"/>
                <w:kern w:val="1"/>
                <w:sz w:val="18"/>
                <w:szCs w:val="18"/>
              </w:rPr>
              <w:t xml:space="preserve"> </w:t>
            </w:r>
            <w:r>
              <w:rPr>
                <w:rFonts w:ascii="宋体" w:hAnsi="宋体"/>
                <w:kern w:val="1"/>
                <w:sz w:val="18"/>
                <w:szCs w:val="18"/>
                <w:lang w:val="fr-FR"/>
              </w:rPr>
              <w:t>20769-2008</w:t>
            </w:r>
          </w:p>
          <w:p w14:paraId="6243C16A">
            <w:pPr>
              <w:widowControl/>
              <w:spacing w:line="360" w:lineRule="auto"/>
              <w:ind w:left="105" w:leftChars="50" w:right="105" w:rightChars="50"/>
              <w:jc w:val="center"/>
              <w:rPr>
                <w:rFonts w:ascii="宋体" w:hAnsi="宋体"/>
                <w:kern w:val="1"/>
                <w:sz w:val="18"/>
                <w:szCs w:val="18"/>
              </w:rPr>
            </w:pPr>
            <w:r>
              <w:rPr>
                <w:rFonts w:ascii="宋体" w:hAnsi="宋体"/>
                <w:kern w:val="1"/>
                <w:sz w:val="18"/>
                <w:szCs w:val="18"/>
              </w:rPr>
              <w:t>或</w:t>
            </w:r>
          </w:p>
          <w:p w14:paraId="1EC7D17D">
            <w:pPr>
              <w:snapToGrid w:val="0"/>
              <w:spacing w:line="360" w:lineRule="auto"/>
              <w:jc w:val="center"/>
              <w:rPr>
                <w:rFonts w:ascii="宋体" w:hAnsi="宋体"/>
                <w:kern w:val="1"/>
                <w:sz w:val="18"/>
                <w:szCs w:val="18"/>
              </w:rPr>
            </w:pPr>
            <w:r>
              <w:rPr>
                <w:rFonts w:ascii="宋体" w:hAnsi="宋体"/>
                <w:kern w:val="1"/>
                <w:sz w:val="18"/>
                <w:szCs w:val="18"/>
              </w:rPr>
              <w:t>GB 23200.113-20</w:t>
            </w:r>
            <w:r>
              <w:rPr>
                <w:rFonts w:hint="eastAsia" w:ascii="宋体" w:hAnsi="宋体"/>
                <w:kern w:val="1"/>
                <w:sz w:val="18"/>
                <w:szCs w:val="18"/>
              </w:rPr>
              <w:t>26</w:t>
            </w:r>
          </w:p>
          <w:p w14:paraId="31C299A6">
            <w:pPr>
              <w:snapToGrid w:val="0"/>
              <w:spacing w:line="360" w:lineRule="auto"/>
              <w:jc w:val="center"/>
              <w:rPr>
                <w:rFonts w:ascii="宋体" w:hAnsi="宋体"/>
                <w:kern w:val="1"/>
                <w:sz w:val="18"/>
                <w:szCs w:val="18"/>
              </w:rPr>
            </w:pPr>
            <w:r>
              <w:rPr>
                <w:rFonts w:ascii="宋体" w:hAnsi="宋体"/>
                <w:kern w:val="1"/>
                <w:sz w:val="18"/>
                <w:szCs w:val="18"/>
              </w:rPr>
              <w:t>或</w:t>
            </w:r>
          </w:p>
          <w:p w14:paraId="2BC06D3A">
            <w:pPr>
              <w:snapToGrid w:val="0"/>
              <w:spacing w:line="360" w:lineRule="auto"/>
              <w:jc w:val="center"/>
              <w:rPr>
                <w:rFonts w:hint="eastAsia" w:ascii="宋体" w:hAnsi="宋体"/>
                <w:kern w:val="1"/>
                <w:sz w:val="18"/>
                <w:szCs w:val="18"/>
              </w:rPr>
            </w:pPr>
            <w:r>
              <w:rPr>
                <w:rFonts w:ascii="宋体" w:hAnsi="宋体"/>
                <w:kern w:val="1"/>
                <w:sz w:val="18"/>
                <w:szCs w:val="18"/>
              </w:rPr>
              <w:t>GB 23200.121-202</w:t>
            </w:r>
            <w:r>
              <w:rPr>
                <w:rFonts w:hint="eastAsia" w:ascii="宋体" w:hAnsi="宋体"/>
                <w:kern w:val="1"/>
                <w:sz w:val="18"/>
                <w:szCs w:val="18"/>
              </w:rPr>
              <w:t>6</w:t>
            </w:r>
          </w:p>
          <w:p w14:paraId="2088955C">
            <w:pPr>
              <w:widowControl/>
              <w:spacing w:line="360" w:lineRule="auto"/>
              <w:ind w:left="105" w:leftChars="50" w:right="105" w:rightChars="50"/>
              <w:jc w:val="center"/>
              <w:rPr>
                <w:rFonts w:ascii="宋体" w:hAnsi="宋体"/>
                <w:kern w:val="1"/>
                <w:sz w:val="18"/>
                <w:szCs w:val="18"/>
              </w:rPr>
            </w:pPr>
            <w:r>
              <w:rPr>
                <w:rFonts w:ascii="宋体" w:hAnsi="宋体"/>
                <w:kern w:val="1"/>
                <w:sz w:val="18"/>
                <w:szCs w:val="18"/>
              </w:rPr>
              <w:t>或</w:t>
            </w:r>
          </w:p>
          <w:p w14:paraId="71B05901">
            <w:pPr>
              <w:widowControl/>
              <w:spacing w:line="360" w:lineRule="auto"/>
              <w:ind w:left="105" w:leftChars="50" w:right="105" w:rightChars="50"/>
              <w:jc w:val="center"/>
              <w:rPr>
                <w:rFonts w:ascii="宋体" w:hAnsi="宋体"/>
                <w:kern w:val="1"/>
                <w:sz w:val="18"/>
                <w:szCs w:val="18"/>
              </w:rPr>
            </w:pPr>
            <w:r>
              <w:rPr>
                <w:rFonts w:ascii="宋体" w:hAnsi="宋体"/>
                <w:kern w:val="1"/>
                <w:sz w:val="18"/>
                <w:szCs w:val="18"/>
              </w:rPr>
              <w:t>GB 23200.8-2016</w:t>
            </w:r>
          </w:p>
          <w:p w14:paraId="46C28A39">
            <w:pPr>
              <w:widowControl/>
              <w:spacing w:line="360" w:lineRule="auto"/>
              <w:ind w:left="105" w:leftChars="50" w:right="105" w:rightChars="50"/>
              <w:jc w:val="center"/>
              <w:rPr>
                <w:rFonts w:ascii="宋体" w:hAnsi="宋体"/>
                <w:kern w:val="1"/>
                <w:sz w:val="18"/>
                <w:szCs w:val="18"/>
                <w:lang w:val="fr-FR"/>
              </w:rPr>
            </w:pPr>
            <w:r>
              <w:rPr>
                <w:rFonts w:ascii="宋体" w:hAnsi="宋体"/>
                <w:kern w:val="1"/>
                <w:sz w:val="18"/>
                <w:szCs w:val="18"/>
              </w:rPr>
              <w:t>或</w:t>
            </w:r>
          </w:p>
          <w:p w14:paraId="45AF9993">
            <w:pPr>
              <w:widowControl/>
              <w:spacing w:line="360" w:lineRule="auto"/>
              <w:ind w:left="105" w:leftChars="50" w:right="105" w:rightChars="50"/>
              <w:jc w:val="center"/>
              <w:rPr>
                <w:rFonts w:ascii="宋体" w:hAnsi="宋体"/>
                <w:kern w:val="1"/>
                <w:sz w:val="18"/>
                <w:szCs w:val="18"/>
                <w:lang w:val="fr-FR"/>
              </w:rPr>
            </w:pPr>
            <w:r>
              <w:rPr>
                <w:rFonts w:ascii="宋体" w:hAnsi="宋体"/>
                <w:kern w:val="1"/>
                <w:sz w:val="18"/>
                <w:szCs w:val="18"/>
                <w:lang w:val="fr-FR"/>
              </w:rPr>
              <w:t>NY/T</w:t>
            </w:r>
            <w:r>
              <w:rPr>
                <w:rFonts w:hint="eastAsia" w:ascii="宋体" w:hAnsi="宋体"/>
                <w:kern w:val="1"/>
                <w:sz w:val="18"/>
                <w:szCs w:val="18"/>
              </w:rPr>
              <w:t xml:space="preserve"> </w:t>
            </w:r>
            <w:r>
              <w:rPr>
                <w:rFonts w:ascii="宋体" w:hAnsi="宋体"/>
                <w:kern w:val="1"/>
                <w:sz w:val="18"/>
                <w:szCs w:val="18"/>
                <w:lang w:val="fr-FR"/>
              </w:rPr>
              <w:t>761-2008</w:t>
            </w:r>
          </w:p>
          <w:p w14:paraId="32B88DEB">
            <w:pPr>
              <w:widowControl/>
              <w:spacing w:line="360" w:lineRule="auto"/>
              <w:ind w:left="105" w:leftChars="50" w:right="105" w:rightChars="50"/>
              <w:jc w:val="center"/>
              <w:rPr>
                <w:rFonts w:ascii="宋体" w:hAnsi="宋体"/>
                <w:kern w:val="1"/>
                <w:sz w:val="18"/>
                <w:szCs w:val="18"/>
                <w:lang w:val="fr-FR"/>
              </w:rPr>
            </w:pPr>
            <w:r>
              <w:rPr>
                <w:rFonts w:ascii="宋体" w:hAnsi="宋体"/>
                <w:kern w:val="1"/>
                <w:sz w:val="18"/>
                <w:szCs w:val="18"/>
              </w:rPr>
              <w:t>或</w:t>
            </w:r>
          </w:p>
          <w:p w14:paraId="00059BA4">
            <w:pPr>
              <w:snapToGrid w:val="0"/>
              <w:spacing w:line="360" w:lineRule="auto"/>
              <w:jc w:val="center"/>
              <w:rPr>
                <w:rFonts w:ascii="宋体" w:hAnsi="宋体"/>
                <w:kern w:val="1"/>
                <w:sz w:val="18"/>
                <w:szCs w:val="18"/>
              </w:rPr>
            </w:pPr>
            <w:r>
              <w:rPr>
                <w:rFonts w:ascii="宋体" w:hAnsi="宋体"/>
                <w:kern w:val="1"/>
                <w:sz w:val="18"/>
                <w:szCs w:val="18"/>
              </w:rPr>
              <w:t>实验室认证的其他方法</w:t>
            </w:r>
            <w:r>
              <w:rPr>
                <w:rFonts w:hint="eastAsia" w:ascii="宋体" w:hAnsi="宋体"/>
                <w:kern w:val="1"/>
                <w:sz w:val="18"/>
                <w:szCs w:val="18"/>
              </w:rPr>
              <w:t>进行检测</w:t>
            </w:r>
          </w:p>
        </w:tc>
      </w:tr>
      <w:tr w14:paraId="289835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71" w:type="dxa"/>
            <w:noWrap w:val="0"/>
            <w:vAlign w:val="center"/>
          </w:tcPr>
          <w:p w14:paraId="5276618E">
            <w:pPr>
              <w:snapToGrid w:val="0"/>
              <w:spacing w:line="440" w:lineRule="exact"/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限用农药（8种）</w:t>
            </w:r>
          </w:p>
        </w:tc>
        <w:tc>
          <w:tcPr>
            <w:tcW w:w="5620" w:type="dxa"/>
            <w:noWrap w:val="0"/>
            <w:vAlign w:val="center"/>
          </w:tcPr>
          <w:p w14:paraId="73C1D0CB">
            <w:pPr>
              <w:snapToGrid w:val="0"/>
              <w:spacing w:line="440" w:lineRule="exact"/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sz w:val="24"/>
              </w:rPr>
              <w:t>氟虫腈</w:t>
            </w:r>
            <w:r>
              <w:rPr>
                <w:rFonts w:hint="eastAsia" w:ascii="宋体" w:hAnsi="宋体"/>
                <w:sz w:val="24"/>
              </w:rPr>
              <w:t>（包括氟甲</w:t>
            </w:r>
            <w:r>
              <w:rPr>
                <w:rFonts w:ascii="宋体" w:hAnsi="宋体"/>
                <w:sz w:val="24"/>
              </w:rPr>
              <w:t>腈</w:t>
            </w:r>
            <w:r>
              <w:rPr>
                <w:rFonts w:hint="eastAsia" w:ascii="宋体" w:hAnsi="宋体"/>
                <w:sz w:val="24"/>
              </w:rPr>
              <w:t>、</w:t>
            </w:r>
            <w:r>
              <w:rPr>
                <w:rFonts w:ascii="宋体" w:hAnsi="宋体"/>
                <w:sz w:val="24"/>
              </w:rPr>
              <w:t>氟虫腈</w:t>
            </w:r>
            <w:r>
              <w:rPr>
                <w:rFonts w:hint="eastAsia" w:ascii="宋体" w:hAnsi="宋体"/>
                <w:sz w:val="24"/>
              </w:rPr>
              <w:t>硫醚、</w:t>
            </w:r>
            <w:r>
              <w:rPr>
                <w:rFonts w:ascii="宋体" w:hAnsi="宋体"/>
                <w:sz w:val="24"/>
              </w:rPr>
              <w:t>氟虫腈</w:t>
            </w:r>
            <w:r>
              <w:rPr>
                <w:rFonts w:hint="eastAsia" w:ascii="宋体" w:hAnsi="宋体"/>
                <w:sz w:val="24"/>
              </w:rPr>
              <w:t>砜）、</w:t>
            </w:r>
            <w:r>
              <w:rPr>
                <w:rFonts w:ascii="宋体" w:hAnsi="宋体"/>
                <w:sz w:val="24"/>
              </w:rPr>
              <w:t>毒死蜱、三唑磷、乐果、乙酰甲胺磷、硫环磷、氯唑磷、内吸磷</w:t>
            </w:r>
          </w:p>
        </w:tc>
        <w:tc>
          <w:tcPr>
            <w:tcW w:w="1967" w:type="dxa"/>
            <w:vMerge w:val="continue"/>
            <w:noWrap w:val="0"/>
            <w:vAlign w:val="top"/>
          </w:tcPr>
          <w:p w14:paraId="554D6869">
            <w:pPr>
              <w:snapToGrid w:val="0"/>
              <w:spacing w:line="520" w:lineRule="exact"/>
              <w:jc w:val="left"/>
              <w:rPr>
                <w:rFonts w:ascii="宋体" w:hAnsi="宋体"/>
                <w:sz w:val="24"/>
              </w:rPr>
            </w:pPr>
          </w:p>
        </w:tc>
      </w:tr>
      <w:tr w14:paraId="5B078F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2" w:hRule="atLeast"/>
        </w:trPr>
        <w:tc>
          <w:tcPr>
            <w:tcW w:w="1371" w:type="dxa"/>
            <w:noWrap w:val="0"/>
            <w:vAlign w:val="center"/>
          </w:tcPr>
          <w:p w14:paraId="4FD95F03">
            <w:pPr>
              <w:snapToGrid w:val="0"/>
              <w:spacing w:line="440" w:lineRule="exact"/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常规农药（52种）</w:t>
            </w:r>
          </w:p>
        </w:tc>
        <w:tc>
          <w:tcPr>
            <w:tcW w:w="5620" w:type="dxa"/>
            <w:noWrap w:val="0"/>
            <w:vAlign w:val="center"/>
          </w:tcPr>
          <w:p w14:paraId="41C51943">
            <w:pPr>
              <w:snapToGrid w:val="0"/>
              <w:spacing w:line="440" w:lineRule="exact"/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敌敌畏、杀螟硫磷、丙溴磷、马拉硫磷、亚胺硫磷、倍硫磷、辛硫磷、氯氰菊酯、氰戊菊酯、溴氰菊酯、甲氰菊酯、联苯菊酯、氯氟氰菊酯、氟氯氰菊酯、氯吡脲、除虫脲、灭幼脲、吡虫啉、啶虫脒、哒螨灵、阿维菌素、甲氨基阿维菌素苯甲酸盐、虫螨腈、噻虫嗪、氟啶脲、异菌脲、五氯硝基苯、三唑酮、百菌清、腐霉利、乙烯菌核利、多菌灵、苯醚甲环唑、嘧霉胺、烯酰吗啉、咪鲜胺、嘧菌酯、二甲戊灵、灭蝇胺、甲霜灵、霜霉威、乙基多杀菌素、氯虫苯甲酰胺、氯菊酯（异构体之和）、醚菊酯、虫酰肼、吡唑醚菌酯、戊唑醇、抑霉唑、噻苯隆、螺虫乙酯、呋虫胺</w:t>
            </w:r>
          </w:p>
        </w:tc>
        <w:tc>
          <w:tcPr>
            <w:tcW w:w="1967" w:type="dxa"/>
            <w:vMerge w:val="continue"/>
            <w:noWrap w:val="0"/>
            <w:vAlign w:val="top"/>
          </w:tcPr>
          <w:p w14:paraId="5E583D14">
            <w:pPr>
              <w:snapToGrid w:val="0"/>
              <w:spacing w:line="520" w:lineRule="exact"/>
              <w:jc w:val="left"/>
              <w:rPr>
                <w:rFonts w:ascii="宋体" w:hAnsi="宋体"/>
                <w:sz w:val="24"/>
              </w:rPr>
            </w:pPr>
          </w:p>
        </w:tc>
      </w:tr>
      <w:tr w14:paraId="05466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71" w:type="dxa"/>
            <w:noWrap w:val="0"/>
            <w:vAlign w:val="center"/>
          </w:tcPr>
          <w:p w14:paraId="4B921264">
            <w:pPr>
              <w:snapToGrid w:val="0"/>
              <w:spacing w:line="440" w:lineRule="exact"/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食用中药材监测参数（12种）</w:t>
            </w:r>
          </w:p>
        </w:tc>
        <w:tc>
          <w:tcPr>
            <w:tcW w:w="5620" w:type="dxa"/>
            <w:noWrap w:val="0"/>
            <w:vAlign w:val="center"/>
          </w:tcPr>
          <w:p w14:paraId="7D12DD5F">
            <w:pPr>
              <w:snapToGrid w:val="0"/>
              <w:spacing w:line="44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禁用农药（</w:t>
            </w:r>
            <w:r>
              <w:rPr>
                <w:rFonts w:ascii="宋体" w:hAnsi="宋体"/>
                <w:sz w:val="24"/>
              </w:rPr>
              <w:t>1</w:t>
            </w:r>
            <w:r>
              <w:rPr>
                <w:rFonts w:hint="eastAsia" w:ascii="宋体" w:hAnsi="宋体"/>
                <w:sz w:val="24"/>
              </w:rPr>
              <w:t>项）：甲胺磷</w:t>
            </w:r>
          </w:p>
          <w:p w14:paraId="378B89AE">
            <w:pPr>
              <w:snapToGrid w:val="0"/>
              <w:spacing w:line="44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限用农药（</w:t>
            </w:r>
            <w:r>
              <w:rPr>
                <w:rFonts w:ascii="宋体" w:hAnsi="宋体"/>
                <w:sz w:val="24"/>
              </w:rPr>
              <w:t>1</w:t>
            </w:r>
            <w:r>
              <w:rPr>
                <w:rFonts w:hint="eastAsia" w:ascii="宋体" w:hAnsi="宋体"/>
                <w:sz w:val="24"/>
              </w:rPr>
              <w:t>项）：乙酰甲胺磷</w:t>
            </w:r>
          </w:p>
          <w:p w14:paraId="4F7F7C4B">
            <w:pPr>
              <w:snapToGrid w:val="0"/>
              <w:spacing w:line="44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常规农药（</w:t>
            </w:r>
            <w:r>
              <w:rPr>
                <w:rFonts w:ascii="宋体" w:hAnsi="宋体"/>
                <w:sz w:val="24"/>
              </w:rPr>
              <w:t>5</w:t>
            </w:r>
            <w:r>
              <w:rPr>
                <w:rFonts w:hint="eastAsia" w:ascii="宋体" w:hAnsi="宋体"/>
                <w:sz w:val="24"/>
              </w:rPr>
              <w:t>项）：联苯菊酯、氯氰菊酯、溴氰菊酯、氟氰戊菊酯、氯菊酯</w:t>
            </w:r>
          </w:p>
          <w:p w14:paraId="5DD508CD">
            <w:pPr>
              <w:snapToGrid w:val="0"/>
              <w:spacing w:line="44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重金属（</w:t>
            </w:r>
            <w:r>
              <w:rPr>
                <w:rFonts w:ascii="宋体" w:hAnsi="宋体"/>
                <w:sz w:val="24"/>
              </w:rPr>
              <w:t>5</w:t>
            </w:r>
            <w:r>
              <w:rPr>
                <w:rFonts w:hint="eastAsia" w:ascii="宋体" w:hAnsi="宋体"/>
                <w:sz w:val="24"/>
              </w:rPr>
              <w:t>项）：铅、镉、砷、汞、铜</w:t>
            </w:r>
          </w:p>
        </w:tc>
        <w:tc>
          <w:tcPr>
            <w:tcW w:w="1967" w:type="dxa"/>
            <w:noWrap w:val="0"/>
            <w:vAlign w:val="center"/>
          </w:tcPr>
          <w:p w14:paraId="2D6F43D5">
            <w:pPr>
              <w:snapToGrid w:val="0"/>
              <w:spacing w:line="360" w:lineRule="auto"/>
              <w:jc w:val="center"/>
              <w:rPr>
                <w:rFonts w:ascii="宋体" w:hAnsi="宋体"/>
                <w:kern w:val="1"/>
                <w:sz w:val="18"/>
                <w:szCs w:val="18"/>
              </w:rPr>
            </w:pPr>
            <w:r>
              <w:rPr>
                <w:rFonts w:hint="eastAsia" w:ascii="宋体" w:hAnsi="宋体"/>
                <w:kern w:val="1"/>
                <w:sz w:val="18"/>
                <w:szCs w:val="18"/>
              </w:rPr>
              <w:t>按《中国药典》2020年版四部通则2341农药残留测定法</w:t>
            </w:r>
          </w:p>
          <w:p w14:paraId="60ED1528">
            <w:pPr>
              <w:snapToGrid w:val="0"/>
              <w:spacing w:line="360" w:lineRule="auto"/>
              <w:jc w:val="center"/>
              <w:rPr>
                <w:rFonts w:ascii="宋体" w:hAnsi="宋体"/>
                <w:kern w:val="1"/>
                <w:sz w:val="18"/>
                <w:szCs w:val="18"/>
              </w:rPr>
            </w:pPr>
            <w:r>
              <w:rPr>
                <w:rFonts w:hint="eastAsia" w:ascii="宋体" w:hAnsi="宋体"/>
                <w:kern w:val="1"/>
                <w:sz w:val="18"/>
                <w:szCs w:val="18"/>
              </w:rPr>
              <w:t>或 2321铅、镉、砷、汞、铜测定法</w:t>
            </w:r>
          </w:p>
          <w:p w14:paraId="577DAB8D">
            <w:pPr>
              <w:snapToGrid w:val="0"/>
              <w:spacing w:line="360" w:lineRule="auto"/>
              <w:jc w:val="center"/>
              <w:rPr>
                <w:rFonts w:ascii="宋体" w:hAnsi="宋体"/>
                <w:kern w:val="1"/>
                <w:sz w:val="18"/>
                <w:szCs w:val="18"/>
              </w:rPr>
            </w:pPr>
            <w:r>
              <w:rPr>
                <w:rFonts w:hint="eastAsia" w:ascii="宋体" w:hAnsi="宋体"/>
                <w:kern w:val="1"/>
                <w:sz w:val="18"/>
                <w:szCs w:val="18"/>
              </w:rPr>
              <w:t>或实验室认证的其他方法进行检测</w:t>
            </w:r>
          </w:p>
        </w:tc>
      </w:tr>
      <w:tr w14:paraId="3FE58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8958" w:type="dxa"/>
            <w:gridSpan w:val="3"/>
            <w:noWrap w:val="0"/>
            <w:vAlign w:val="center"/>
          </w:tcPr>
          <w:p w14:paraId="551C6F48">
            <w:pPr>
              <w:snapToGrid w:val="0"/>
              <w:spacing w:line="440" w:lineRule="exact"/>
              <w:jc w:val="left"/>
              <w:rPr>
                <w:rFonts w:hint="eastAsia" w:ascii="宋体" w:hAnsi="宋体"/>
                <w:kern w:val="1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备注</w:t>
            </w:r>
            <w:r>
              <w:rPr>
                <w:rFonts w:hint="eastAsia" w:ascii="宋体" w:hAnsi="宋体"/>
                <w:sz w:val="24"/>
              </w:rPr>
              <w:t>：蔬菜、水果例行监测及甘薯、葱、芹菜重点品种监测按照本表执行</w:t>
            </w:r>
          </w:p>
        </w:tc>
      </w:tr>
    </w:tbl>
    <w:p w14:paraId="77894C6A">
      <w:pPr>
        <w:spacing w:before="120" w:beforeLines="50" w:after="120" w:afterLines="50" w:line="44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56BECB32">
      <w:pPr>
        <w:spacing w:before="120" w:beforeLines="50" w:after="120" w:afterLines="50" w:line="44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畜禽产品监测参数</w:t>
      </w:r>
    </w:p>
    <w:tbl>
      <w:tblPr>
        <w:tblStyle w:val="5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5812"/>
        <w:gridCol w:w="1984"/>
      </w:tblGrid>
      <w:tr w14:paraId="47073B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84" w:type="dxa"/>
            <w:noWrap w:val="0"/>
            <w:vAlign w:val="center"/>
          </w:tcPr>
          <w:p w14:paraId="310BDD4F">
            <w:pPr>
              <w:jc w:val="center"/>
              <w:rPr>
                <w:rFonts w:ascii="宋体" w:hAnsi="宋体" w:cs="黑体"/>
                <w:b/>
                <w:bCs/>
                <w:sz w:val="28"/>
                <w:szCs w:val="28"/>
              </w:rPr>
            </w:pPr>
            <w:r>
              <w:rPr>
                <w:rFonts w:ascii="宋体" w:hAnsi="宋体" w:cs="黑体"/>
                <w:b/>
                <w:bCs/>
                <w:sz w:val="28"/>
                <w:szCs w:val="28"/>
              </w:rPr>
              <w:t>样品种类</w:t>
            </w:r>
          </w:p>
        </w:tc>
        <w:tc>
          <w:tcPr>
            <w:tcW w:w="5812" w:type="dxa"/>
            <w:noWrap w:val="0"/>
            <w:vAlign w:val="center"/>
          </w:tcPr>
          <w:p w14:paraId="376C01DE">
            <w:pPr>
              <w:jc w:val="center"/>
              <w:rPr>
                <w:rFonts w:ascii="宋体" w:hAnsi="宋体" w:cs="黑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cs="黑体"/>
                <w:b/>
                <w:bCs/>
                <w:sz w:val="28"/>
                <w:szCs w:val="28"/>
              </w:rPr>
              <w:t>监测</w:t>
            </w:r>
            <w:r>
              <w:rPr>
                <w:rFonts w:ascii="宋体" w:hAnsi="宋体" w:cs="黑体"/>
                <w:b/>
                <w:bCs/>
                <w:sz w:val="28"/>
                <w:szCs w:val="28"/>
              </w:rPr>
              <w:t>参数</w:t>
            </w:r>
          </w:p>
        </w:tc>
        <w:tc>
          <w:tcPr>
            <w:tcW w:w="1984" w:type="dxa"/>
            <w:noWrap w:val="0"/>
            <w:vAlign w:val="center"/>
          </w:tcPr>
          <w:p w14:paraId="3A59B855">
            <w:pPr>
              <w:jc w:val="center"/>
              <w:rPr>
                <w:rFonts w:ascii="宋体" w:hAnsi="宋体" w:cs="黑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cs="黑体"/>
                <w:b/>
                <w:bCs/>
                <w:sz w:val="28"/>
                <w:szCs w:val="28"/>
              </w:rPr>
              <w:t>检测方法</w:t>
            </w:r>
          </w:p>
        </w:tc>
      </w:tr>
      <w:tr w14:paraId="3AB68D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5" w:hRule="atLeast"/>
        </w:trPr>
        <w:tc>
          <w:tcPr>
            <w:tcW w:w="1384" w:type="dxa"/>
            <w:vMerge w:val="restart"/>
            <w:noWrap w:val="0"/>
            <w:vAlign w:val="center"/>
          </w:tcPr>
          <w:p w14:paraId="3661CB92">
            <w:pPr>
              <w:snapToGrid w:val="0"/>
              <w:spacing w:line="5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猪肉</w:t>
            </w:r>
          </w:p>
          <w:p w14:paraId="25E66CAA">
            <w:pPr>
              <w:snapToGrid w:val="0"/>
              <w:spacing w:line="5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牛肉</w:t>
            </w:r>
          </w:p>
          <w:p w14:paraId="290A2BED">
            <w:pPr>
              <w:snapToGrid w:val="0"/>
              <w:spacing w:line="52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羊肉</w:t>
            </w:r>
          </w:p>
        </w:tc>
        <w:tc>
          <w:tcPr>
            <w:tcW w:w="5812" w:type="dxa"/>
            <w:noWrap w:val="0"/>
            <w:vAlign w:val="center"/>
          </w:tcPr>
          <w:p w14:paraId="048E64BD">
            <w:pPr>
              <w:snapToGrid w:val="0"/>
              <w:spacing w:line="52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禁用药物</w:t>
            </w:r>
            <w:r>
              <w:rPr>
                <w:rFonts w:hint="eastAsia" w:ascii="宋体" w:hAnsi="宋体"/>
                <w:b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>β</w:t>
            </w:r>
            <w:r>
              <w:rPr>
                <w:rFonts w:hint="eastAsia" w:ascii="宋体" w:hAnsi="宋体"/>
                <w:sz w:val="24"/>
              </w:rPr>
              <w:t>-</w:t>
            </w:r>
            <w:r>
              <w:rPr>
                <w:rFonts w:ascii="宋体" w:hAnsi="宋体"/>
                <w:sz w:val="24"/>
              </w:rPr>
              <w:t>受体激动剂类（克伦特罗、莱克多巴胺、沙丁胺醇</w:t>
            </w:r>
            <w:r>
              <w:rPr>
                <w:rFonts w:hint="eastAsia" w:ascii="宋体" w:hAnsi="宋体"/>
                <w:sz w:val="24"/>
              </w:rPr>
              <w:t>、特布他林、西马特罗、氯丙那林、妥布特罗</w:t>
            </w:r>
            <w:r>
              <w:rPr>
                <w:rFonts w:ascii="宋体" w:hAnsi="宋体"/>
                <w:sz w:val="24"/>
              </w:rPr>
              <w:t>）</w:t>
            </w:r>
          </w:p>
        </w:tc>
        <w:tc>
          <w:tcPr>
            <w:tcW w:w="1984" w:type="dxa"/>
            <w:vMerge w:val="restart"/>
            <w:noWrap w:val="0"/>
            <w:vAlign w:val="center"/>
          </w:tcPr>
          <w:p w14:paraId="0D16F581">
            <w:pPr>
              <w:snapToGrid w:val="0"/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按 GB 31658.22-2022</w:t>
            </w:r>
          </w:p>
          <w:p w14:paraId="4A7C7627">
            <w:pPr>
              <w:snapToGrid w:val="0"/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或</w:t>
            </w:r>
          </w:p>
          <w:p w14:paraId="2571AFCF">
            <w:pPr>
              <w:snapToGrid w:val="0"/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GB/T 20759-2006</w:t>
            </w:r>
          </w:p>
          <w:p w14:paraId="059966D3">
            <w:pPr>
              <w:snapToGrid w:val="0"/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或</w:t>
            </w:r>
          </w:p>
          <w:p w14:paraId="6746D5D0">
            <w:pPr>
              <w:snapToGrid w:val="0"/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GB/T 21316-2007</w:t>
            </w:r>
          </w:p>
          <w:p w14:paraId="61FE3620">
            <w:pPr>
              <w:snapToGrid w:val="0"/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或</w:t>
            </w:r>
          </w:p>
          <w:p w14:paraId="3F3F56E7">
            <w:pPr>
              <w:snapToGrid w:val="0"/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GB/T 21317-2007</w:t>
            </w:r>
          </w:p>
          <w:p w14:paraId="65211045">
            <w:pPr>
              <w:snapToGrid w:val="0"/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或</w:t>
            </w:r>
          </w:p>
          <w:p w14:paraId="1AF4687D">
            <w:pPr>
              <w:snapToGrid w:val="0"/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GB 31658.17-2021</w:t>
            </w:r>
          </w:p>
          <w:p w14:paraId="6A492885">
            <w:pPr>
              <w:snapToGrid w:val="0"/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或</w:t>
            </w:r>
          </w:p>
          <w:p w14:paraId="34EEDBFC">
            <w:pPr>
              <w:snapToGrid w:val="0"/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GB 31658.6-2021</w:t>
            </w:r>
          </w:p>
          <w:p w14:paraId="76CF9C45">
            <w:pPr>
              <w:snapToGrid w:val="0"/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或</w:t>
            </w:r>
          </w:p>
          <w:p w14:paraId="0E6A62F7">
            <w:pPr>
              <w:snapToGrid w:val="0"/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GB 31658.20-2022</w:t>
            </w:r>
          </w:p>
          <w:p w14:paraId="2E07C5E7">
            <w:pPr>
              <w:snapToGrid w:val="0"/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或</w:t>
            </w:r>
          </w:p>
          <w:p w14:paraId="3B0F7874">
            <w:pPr>
              <w:snapToGrid w:val="0"/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GB 31660.5-2019</w:t>
            </w:r>
          </w:p>
          <w:p w14:paraId="27F24D48">
            <w:pPr>
              <w:snapToGrid w:val="0"/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或</w:t>
            </w:r>
          </w:p>
          <w:p w14:paraId="6C5E856F">
            <w:pPr>
              <w:snapToGrid w:val="0"/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  <w:lang w:eastAsia="zh-CN"/>
              </w:rPr>
              <w:t>农业农村部</w:t>
            </w:r>
            <w:r>
              <w:rPr>
                <w:rFonts w:ascii="宋体" w:hAnsi="宋体"/>
                <w:sz w:val="18"/>
                <w:szCs w:val="18"/>
              </w:rPr>
              <w:t>1025号公告-18-2008</w:t>
            </w:r>
          </w:p>
          <w:p w14:paraId="11DC6624">
            <w:pPr>
              <w:snapToGrid w:val="0"/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或</w:t>
            </w:r>
          </w:p>
          <w:p w14:paraId="51827146">
            <w:pPr>
              <w:snapToGrid w:val="0"/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  <w:lang w:eastAsia="zh-CN"/>
              </w:rPr>
              <w:t>农业农村部</w:t>
            </w:r>
            <w:r>
              <w:rPr>
                <w:rFonts w:hint="eastAsia" w:ascii="宋体" w:hAnsi="宋体"/>
                <w:sz w:val="18"/>
                <w:szCs w:val="18"/>
              </w:rPr>
              <w:t>1031号公告-2-2008</w:t>
            </w:r>
          </w:p>
          <w:p w14:paraId="0FE2063C">
            <w:pPr>
              <w:snapToGrid w:val="0"/>
              <w:spacing w:line="360" w:lineRule="auto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或</w:t>
            </w:r>
          </w:p>
          <w:p w14:paraId="083ABAAE">
            <w:pPr>
              <w:snapToGrid w:val="0"/>
              <w:spacing w:line="360" w:lineRule="auto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GB 31658.26-2025</w:t>
            </w:r>
          </w:p>
          <w:p w14:paraId="72D49724">
            <w:pPr>
              <w:snapToGrid w:val="0"/>
              <w:spacing w:line="360" w:lineRule="auto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或</w:t>
            </w:r>
          </w:p>
          <w:p w14:paraId="1A8D1020">
            <w:pPr>
              <w:snapToGrid w:val="0"/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GB 31659.2-2022</w:t>
            </w:r>
          </w:p>
          <w:p w14:paraId="785AA9B4">
            <w:pPr>
              <w:snapToGrid w:val="0"/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或</w:t>
            </w:r>
          </w:p>
          <w:p w14:paraId="70F8A68F">
            <w:pPr>
              <w:snapToGrid w:val="0"/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实验室认证的其他方法</w:t>
            </w:r>
            <w:r>
              <w:rPr>
                <w:rFonts w:hint="eastAsia" w:ascii="宋体" w:hAnsi="宋体"/>
                <w:sz w:val="18"/>
                <w:szCs w:val="18"/>
              </w:rPr>
              <w:t>进行检测</w:t>
            </w:r>
          </w:p>
        </w:tc>
      </w:tr>
      <w:tr w14:paraId="449BC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9" w:hRule="atLeast"/>
        </w:trPr>
        <w:tc>
          <w:tcPr>
            <w:tcW w:w="1384" w:type="dxa"/>
            <w:vMerge w:val="continue"/>
            <w:noWrap w:val="0"/>
            <w:vAlign w:val="center"/>
          </w:tcPr>
          <w:p w14:paraId="1E816462">
            <w:pPr>
              <w:snapToGrid w:val="0"/>
              <w:spacing w:line="5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812" w:type="dxa"/>
            <w:noWrap w:val="0"/>
            <w:vAlign w:val="center"/>
          </w:tcPr>
          <w:p w14:paraId="4555F805">
            <w:pPr>
              <w:snapToGrid w:val="0"/>
              <w:spacing w:line="52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 xml:space="preserve">常规药物 </w:t>
            </w:r>
            <w:r>
              <w:rPr>
                <w:rFonts w:ascii="宋体" w:hAnsi="宋体"/>
                <w:sz w:val="24"/>
              </w:rPr>
              <w:t>磺胺类（磺胺间甲氧嘧啶、磺胺二甲嘧啶、磺胺甲噁唑、磺胺</w:t>
            </w:r>
            <w:r>
              <w:rPr>
                <w:rFonts w:hint="eastAsia" w:ascii="宋体" w:hAnsi="宋体"/>
                <w:sz w:val="24"/>
              </w:rPr>
              <w:t>（间）</w:t>
            </w:r>
            <w:r>
              <w:rPr>
                <w:rFonts w:ascii="宋体" w:hAnsi="宋体"/>
                <w:sz w:val="24"/>
              </w:rPr>
              <w:t>二甲氧嘧啶</w:t>
            </w:r>
            <w:r>
              <w:rPr>
                <w:rFonts w:hint="eastAsia" w:ascii="宋体" w:hAnsi="宋体"/>
                <w:sz w:val="24"/>
              </w:rPr>
              <w:t>、</w:t>
            </w:r>
            <w:r>
              <w:rPr>
                <w:rFonts w:ascii="宋体" w:hAnsi="宋体"/>
                <w:sz w:val="24"/>
              </w:rPr>
              <w:t>磺胺嘧啶</w:t>
            </w:r>
            <w:r>
              <w:rPr>
                <w:rFonts w:hint="eastAsia" w:ascii="宋体" w:hAnsi="宋体"/>
                <w:sz w:val="24"/>
              </w:rPr>
              <w:t>）、</w:t>
            </w:r>
            <w:r>
              <w:rPr>
                <w:rFonts w:ascii="宋体" w:hAnsi="宋体"/>
                <w:sz w:val="24"/>
              </w:rPr>
              <w:t>四环素类（金霉素、土霉素、四环素、多西环素）</w:t>
            </w:r>
          </w:p>
        </w:tc>
        <w:tc>
          <w:tcPr>
            <w:tcW w:w="1984" w:type="dxa"/>
            <w:vMerge w:val="continue"/>
            <w:noWrap w:val="0"/>
            <w:vAlign w:val="top"/>
          </w:tcPr>
          <w:p w14:paraId="45B58CAD">
            <w:pPr>
              <w:snapToGrid w:val="0"/>
              <w:spacing w:line="520" w:lineRule="exact"/>
              <w:jc w:val="left"/>
              <w:rPr>
                <w:rFonts w:ascii="宋体" w:hAnsi="宋体"/>
                <w:b/>
                <w:sz w:val="24"/>
              </w:rPr>
            </w:pPr>
          </w:p>
        </w:tc>
      </w:tr>
      <w:tr w14:paraId="4B63D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3" w:hRule="atLeast"/>
        </w:trPr>
        <w:tc>
          <w:tcPr>
            <w:tcW w:w="1384" w:type="dxa"/>
            <w:noWrap w:val="0"/>
            <w:vAlign w:val="center"/>
          </w:tcPr>
          <w:p w14:paraId="3B218674">
            <w:pPr>
              <w:snapToGrid w:val="0"/>
              <w:spacing w:line="5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牛肉</w:t>
            </w:r>
          </w:p>
        </w:tc>
        <w:tc>
          <w:tcPr>
            <w:tcW w:w="5812" w:type="dxa"/>
            <w:noWrap w:val="0"/>
            <w:vAlign w:val="center"/>
          </w:tcPr>
          <w:p w14:paraId="2622246A">
            <w:pPr>
              <w:snapToGrid w:val="0"/>
              <w:spacing w:line="520" w:lineRule="exact"/>
              <w:jc w:val="lef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常规药物</w:t>
            </w:r>
            <w:r>
              <w:rPr>
                <w:rFonts w:hint="eastAsia" w:ascii="宋体" w:hAnsi="宋体"/>
                <w:b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>氟喹诺酮类（恩诺沙星、环丙沙星）</w:t>
            </w:r>
          </w:p>
        </w:tc>
        <w:tc>
          <w:tcPr>
            <w:tcW w:w="1984" w:type="dxa"/>
            <w:vMerge w:val="continue"/>
            <w:noWrap w:val="0"/>
            <w:vAlign w:val="top"/>
          </w:tcPr>
          <w:p w14:paraId="04C0ABCC">
            <w:pPr>
              <w:snapToGrid w:val="0"/>
              <w:spacing w:line="520" w:lineRule="exact"/>
              <w:jc w:val="left"/>
              <w:rPr>
                <w:rFonts w:ascii="宋体" w:hAnsi="宋体"/>
                <w:b/>
                <w:sz w:val="24"/>
              </w:rPr>
            </w:pPr>
          </w:p>
        </w:tc>
      </w:tr>
      <w:tr w14:paraId="09B81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9" w:hRule="atLeast"/>
        </w:trPr>
        <w:tc>
          <w:tcPr>
            <w:tcW w:w="1384" w:type="dxa"/>
            <w:noWrap w:val="0"/>
            <w:vAlign w:val="center"/>
          </w:tcPr>
          <w:p w14:paraId="1180E667">
            <w:pPr>
              <w:snapToGrid w:val="0"/>
              <w:spacing w:line="5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禽肉</w:t>
            </w:r>
          </w:p>
        </w:tc>
        <w:tc>
          <w:tcPr>
            <w:tcW w:w="5812" w:type="dxa"/>
            <w:noWrap w:val="0"/>
            <w:vAlign w:val="center"/>
          </w:tcPr>
          <w:p w14:paraId="24362231">
            <w:pPr>
              <w:snapToGrid w:val="0"/>
              <w:spacing w:line="520" w:lineRule="exact"/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 xml:space="preserve">常规药物 </w:t>
            </w:r>
            <w:r>
              <w:rPr>
                <w:rFonts w:ascii="宋体" w:hAnsi="宋体"/>
                <w:sz w:val="24"/>
              </w:rPr>
              <w:t>氟喹诺酮类（恩诺沙星、环丙沙星、沙拉沙星</w:t>
            </w:r>
            <w:r>
              <w:rPr>
                <w:rFonts w:hint="eastAsia" w:ascii="宋体" w:hAnsi="宋体"/>
                <w:sz w:val="24"/>
              </w:rPr>
              <w:t>、达氟沙星</w:t>
            </w:r>
            <w:r>
              <w:rPr>
                <w:rFonts w:ascii="宋体" w:hAnsi="宋体"/>
                <w:sz w:val="24"/>
              </w:rPr>
              <w:t>）</w:t>
            </w:r>
            <w:r>
              <w:rPr>
                <w:rFonts w:hint="eastAsia" w:ascii="宋体" w:hAnsi="宋体"/>
                <w:sz w:val="24"/>
              </w:rPr>
              <w:t>、</w:t>
            </w:r>
            <w:r>
              <w:rPr>
                <w:rFonts w:ascii="宋体" w:hAnsi="宋体"/>
                <w:sz w:val="24"/>
              </w:rPr>
              <w:t>酰胺醇类（氟苯尼考、氟苯尼考胺和甲砜霉素）</w:t>
            </w:r>
            <w:r>
              <w:rPr>
                <w:rFonts w:hint="eastAsia" w:ascii="宋体" w:hAnsi="宋体"/>
                <w:sz w:val="24"/>
              </w:rPr>
              <w:t>抗菌增效剂（甲氧苄啶）</w:t>
            </w:r>
          </w:p>
        </w:tc>
        <w:tc>
          <w:tcPr>
            <w:tcW w:w="1984" w:type="dxa"/>
            <w:vMerge w:val="continue"/>
            <w:noWrap w:val="0"/>
            <w:vAlign w:val="top"/>
          </w:tcPr>
          <w:p w14:paraId="692AB5FF">
            <w:pPr>
              <w:snapToGrid w:val="0"/>
              <w:spacing w:line="520" w:lineRule="exact"/>
              <w:jc w:val="left"/>
              <w:rPr>
                <w:rFonts w:ascii="宋体" w:hAnsi="宋体"/>
                <w:b/>
                <w:sz w:val="24"/>
              </w:rPr>
            </w:pPr>
          </w:p>
        </w:tc>
      </w:tr>
      <w:tr w14:paraId="1DB17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384" w:type="dxa"/>
            <w:vMerge w:val="restart"/>
            <w:noWrap w:val="0"/>
            <w:vAlign w:val="center"/>
          </w:tcPr>
          <w:p w14:paraId="526B45DF">
            <w:pPr>
              <w:snapToGrid w:val="0"/>
              <w:spacing w:line="5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禽肉、禽蛋</w:t>
            </w:r>
          </w:p>
        </w:tc>
        <w:tc>
          <w:tcPr>
            <w:tcW w:w="5812" w:type="dxa"/>
            <w:noWrap w:val="0"/>
            <w:vAlign w:val="center"/>
          </w:tcPr>
          <w:p w14:paraId="08E29219">
            <w:pPr>
              <w:snapToGrid w:val="0"/>
              <w:spacing w:line="520" w:lineRule="exact"/>
              <w:jc w:val="lef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 xml:space="preserve">禁用药物 </w:t>
            </w:r>
            <w:r>
              <w:rPr>
                <w:rFonts w:ascii="宋体" w:hAnsi="宋体"/>
                <w:sz w:val="24"/>
              </w:rPr>
              <w:t>酰胺醇类（氯霉素）</w:t>
            </w:r>
          </w:p>
        </w:tc>
        <w:tc>
          <w:tcPr>
            <w:tcW w:w="1984" w:type="dxa"/>
            <w:vMerge w:val="continue"/>
            <w:noWrap w:val="0"/>
            <w:vAlign w:val="top"/>
          </w:tcPr>
          <w:p w14:paraId="10B30057">
            <w:pPr>
              <w:snapToGrid w:val="0"/>
              <w:spacing w:line="520" w:lineRule="exact"/>
              <w:jc w:val="left"/>
              <w:rPr>
                <w:rFonts w:ascii="宋体" w:hAnsi="宋体"/>
                <w:b/>
                <w:sz w:val="24"/>
              </w:rPr>
            </w:pPr>
          </w:p>
        </w:tc>
      </w:tr>
      <w:tr w14:paraId="004B48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6" w:hRule="atLeast"/>
        </w:trPr>
        <w:tc>
          <w:tcPr>
            <w:tcW w:w="1384" w:type="dxa"/>
            <w:vMerge w:val="continue"/>
            <w:noWrap w:val="0"/>
            <w:vAlign w:val="center"/>
          </w:tcPr>
          <w:p w14:paraId="5270E222">
            <w:pPr>
              <w:snapToGrid w:val="0"/>
              <w:spacing w:line="5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812" w:type="dxa"/>
            <w:noWrap w:val="0"/>
            <w:vAlign w:val="center"/>
          </w:tcPr>
          <w:p w14:paraId="7AA40136">
            <w:pPr>
              <w:snapToGrid w:val="0"/>
              <w:spacing w:line="52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 xml:space="preserve">食品动物中停止使用药物 </w:t>
            </w:r>
            <w:r>
              <w:rPr>
                <w:rFonts w:ascii="宋体" w:hAnsi="宋体"/>
                <w:sz w:val="24"/>
              </w:rPr>
              <w:t>氟喹诺酮类（氧氟沙星、培氟沙星、诺氟沙星、</w:t>
            </w:r>
            <w:r>
              <w:rPr>
                <w:rFonts w:hint="eastAsia" w:ascii="宋体" w:hAnsi="宋体"/>
                <w:sz w:val="24"/>
              </w:rPr>
              <w:t>洛美沙星</w:t>
            </w:r>
            <w:r>
              <w:rPr>
                <w:rFonts w:ascii="宋体" w:hAnsi="宋体"/>
                <w:sz w:val="24"/>
              </w:rPr>
              <w:t>）</w:t>
            </w:r>
            <w:r>
              <w:rPr>
                <w:rFonts w:hint="eastAsia" w:ascii="宋体" w:hAnsi="宋体"/>
                <w:sz w:val="24"/>
              </w:rPr>
              <w:t>、</w:t>
            </w:r>
            <w:r>
              <w:rPr>
                <w:rFonts w:ascii="宋体" w:hAnsi="宋体"/>
                <w:sz w:val="24"/>
              </w:rPr>
              <w:t>金刚烷胺</w:t>
            </w:r>
          </w:p>
        </w:tc>
        <w:tc>
          <w:tcPr>
            <w:tcW w:w="1984" w:type="dxa"/>
            <w:vMerge w:val="continue"/>
            <w:noWrap w:val="0"/>
            <w:vAlign w:val="top"/>
          </w:tcPr>
          <w:p w14:paraId="1A1BB9A7">
            <w:pPr>
              <w:snapToGrid w:val="0"/>
              <w:spacing w:line="520" w:lineRule="exact"/>
              <w:jc w:val="left"/>
              <w:rPr>
                <w:rFonts w:ascii="宋体" w:hAnsi="宋体"/>
                <w:b/>
                <w:sz w:val="24"/>
              </w:rPr>
            </w:pPr>
          </w:p>
        </w:tc>
      </w:tr>
      <w:tr w14:paraId="319864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0" w:hRule="atLeast"/>
        </w:trPr>
        <w:tc>
          <w:tcPr>
            <w:tcW w:w="1384" w:type="dxa"/>
            <w:noWrap w:val="0"/>
            <w:vAlign w:val="center"/>
          </w:tcPr>
          <w:p w14:paraId="7479665A">
            <w:pPr>
              <w:snapToGrid w:val="0"/>
              <w:spacing w:line="5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禽蛋</w:t>
            </w:r>
          </w:p>
        </w:tc>
        <w:tc>
          <w:tcPr>
            <w:tcW w:w="5812" w:type="dxa"/>
            <w:noWrap w:val="0"/>
            <w:vAlign w:val="center"/>
          </w:tcPr>
          <w:p w14:paraId="0FC2FB9B">
            <w:pPr>
              <w:snapToGrid w:val="0"/>
              <w:spacing w:line="52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 xml:space="preserve">产蛋期不得使用药物 </w:t>
            </w:r>
            <w:r>
              <w:rPr>
                <w:rFonts w:ascii="宋体" w:hAnsi="宋体"/>
                <w:sz w:val="24"/>
              </w:rPr>
              <w:t>氟喹诺酮类（恩诺沙星、环丙沙星、沙拉沙星</w:t>
            </w:r>
            <w:r>
              <w:rPr>
                <w:rFonts w:hint="eastAsia" w:ascii="宋体" w:hAnsi="宋体"/>
                <w:sz w:val="24"/>
              </w:rPr>
              <w:t>、达氟沙星</w:t>
            </w:r>
            <w:r>
              <w:rPr>
                <w:rFonts w:ascii="宋体" w:hAnsi="宋体"/>
                <w:sz w:val="24"/>
              </w:rPr>
              <w:t>）</w:t>
            </w:r>
            <w:r>
              <w:rPr>
                <w:rFonts w:hint="eastAsia" w:ascii="宋体" w:hAnsi="宋体"/>
                <w:sz w:val="24"/>
              </w:rPr>
              <w:t>、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>酰胺醇类（氟苯尼考、氟苯尼考胺、甲砜霉素）、</w:t>
            </w:r>
            <w:r>
              <w:rPr>
                <w:rFonts w:hint="eastAsia" w:ascii="宋体" w:hAnsi="宋体"/>
                <w:sz w:val="24"/>
              </w:rPr>
              <w:t>四环素类（多西环素）</w:t>
            </w:r>
          </w:p>
        </w:tc>
        <w:tc>
          <w:tcPr>
            <w:tcW w:w="1984" w:type="dxa"/>
            <w:vMerge w:val="continue"/>
            <w:noWrap w:val="0"/>
            <w:vAlign w:val="top"/>
          </w:tcPr>
          <w:p w14:paraId="6FDBBDE1">
            <w:pPr>
              <w:snapToGrid w:val="0"/>
              <w:spacing w:line="520" w:lineRule="exact"/>
              <w:jc w:val="left"/>
              <w:rPr>
                <w:rFonts w:ascii="宋体" w:hAnsi="宋体"/>
                <w:b/>
                <w:sz w:val="24"/>
              </w:rPr>
            </w:pPr>
          </w:p>
        </w:tc>
      </w:tr>
    </w:tbl>
    <w:p w14:paraId="77BECA5E">
      <w:pPr>
        <w:spacing w:line="586" w:lineRule="exact"/>
        <w:rPr>
          <w:rFonts w:ascii="仿宋_GB2312" w:hAnsi="仿宋" w:eastAsia="仿宋_GB2312"/>
          <w:kern w:val="0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br w:type="page"/>
      </w:r>
    </w:p>
    <w:p w14:paraId="3C6F6F4E">
      <w:pPr>
        <w:spacing w:before="120" w:beforeLines="50" w:after="120" w:afterLines="50" w:line="44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水产品监测参数</w:t>
      </w:r>
    </w:p>
    <w:tbl>
      <w:tblPr>
        <w:tblStyle w:val="5"/>
        <w:tblW w:w="9356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5"/>
        <w:gridCol w:w="4962"/>
        <w:gridCol w:w="2409"/>
      </w:tblGrid>
      <w:tr w14:paraId="4D04B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85" w:type="dxa"/>
            <w:noWrap w:val="0"/>
            <w:vAlign w:val="center"/>
          </w:tcPr>
          <w:p w14:paraId="2043888D">
            <w:pPr>
              <w:jc w:val="center"/>
              <w:rPr>
                <w:rFonts w:ascii="宋体" w:hAnsi="宋体" w:cs="黑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cs="黑体"/>
                <w:b/>
                <w:bCs/>
                <w:sz w:val="28"/>
                <w:szCs w:val="28"/>
              </w:rPr>
              <w:t>药物类别</w:t>
            </w:r>
          </w:p>
        </w:tc>
        <w:tc>
          <w:tcPr>
            <w:tcW w:w="4962" w:type="dxa"/>
            <w:noWrap w:val="0"/>
            <w:vAlign w:val="center"/>
          </w:tcPr>
          <w:p w14:paraId="52B730D3">
            <w:pPr>
              <w:jc w:val="center"/>
              <w:rPr>
                <w:rFonts w:ascii="宋体" w:hAnsi="宋体" w:cs="黑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cs="黑体"/>
                <w:b/>
                <w:bCs/>
                <w:sz w:val="28"/>
                <w:szCs w:val="28"/>
              </w:rPr>
              <w:t>监测</w:t>
            </w:r>
            <w:r>
              <w:rPr>
                <w:rFonts w:ascii="宋体" w:hAnsi="宋体" w:cs="黑体"/>
                <w:b/>
                <w:bCs/>
                <w:sz w:val="28"/>
                <w:szCs w:val="28"/>
              </w:rPr>
              <w:t>参数</w:t>
            </w:r>
          </w:p>
        </w:tc>
        <w:tc>
          <w:tcPr>
            <w:tcW w:w="2409" w:type="dxa"/>
            <w:noWrap w:val="0"/>
            <w:vAlign w:val="center"/>
          </w:tcPr>
          <w:p w14:paraId="3405A3F8">
            <w:pPr>
              <w:jc w:val="center"/>
              <w:rPr>
                <w:rFonts w:ascii="宋体" w:hAnsi="宋体" w:cs="黑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cs="黑体"/>
                <w:b/>
                <w:bCs/>
                <w:sz w:val="28"/>
                <w:szCs w:val="28"/>
              </w:rPr>
              <w:t>检测方法</w:t>
            </w:r>
          </w:p>
        </w:tc>
      </w:tr>
      <w:tr w14:paraId="7FA66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8" w:hRule="atLeast"/>
        </w:trPr>
        <w:tc>
          <w:tcPr>
            <w:tcW w:w="1985" w:type="dxa"/>
            <w:noWrap w:val="0"/>
            <w:vAlign w:val="center"/>
          </w:tcPr>
          <w:p w14:paraId="5E06DCE7">
            <w:pPr>
              <w:snapToGrid w:val="0"/>
              <w:spacing w:line="5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禁用药物</w:t>
            </w:r>
          </w:p>
        </w:tc>
        <w:tc>
          <w:tcPr>
            <w:tcW w:w="4962" w:type="dxa"/>
            <w:noWrap w:val="0"/>
            <w:vAlign w:val="center"/>
          </w:tcPr>
          <w:p w14:paraId="63F4CE1C">
            <w:pPr>
              <w:snapToGrid w:val="0"/>
              <w:spacing w:line="52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氯霉素</w:t>
            </w:r>
            <w:r>
              <w:rPr>
                <w:rFonts w:hint="eastAsia" w:ascii="宋体" w:hAnsi="宋体"/>
                <w:sz w:val="24"/>
              </w:rPr>
              <w:t>、</w:t>
            </w:r>
            <w:r>
              <w:rPr>
                <w:rFonts w:ascii="宋体" w:hAnsi="宋体"/>
                <w:sz w:val="24"/>
              </w:rPr>
              <w:t>孔雀石绿（包括有色孔雀石绿和无色孔雀石绿）</w:t>
            </w:r>
            <w:r>
              <w:rPr>
                <w:rFonts w:hint="eastAsia" w:ascii="宋体" w:hAnsi="宋体"/>
                <w:sz w:val="24"/>
              </w:rPr>
              <w:t>、</w:t>
            </w:r>
            <w:r>
              <w:rPr>
                <w:rFonts w:ascii="宋体" w:hAnsi="宋体"/>
                <w:sz w:val="24"/>
              </w:rPr>
              <w:t>硝基呋喃类代谢物（包括呋喃唑酮代谢物AOZ、呋喃它酮代谢物AMOZ、呋喃西林代谢物SEM和呋喃妥因代谢物AHD）</w:t>
            </w:r>
          </w:p>
        </w:tc>
        <w:tc>
          <w:tcPr>
            <w:tcW w:w="2409" w:type="dxa"/>
            <w:vMerge w:val="restart"/>
            <w:noWrap w:val="0"/>
            <w:vAlign w:val="center"/>
          </w:tcPr>
          <w:p w14:paraId="697A76DB">
            <w:pPr>
              <w:snapToGrid w:val="0"/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按</w:t>
            </w:r>
            <w:r>
              <w:rPr>
                <w:rFonts w:hint="eastAsia" w:ascii="宋体" w:hAnsi="宋体"/>
                <w:sz w:val="18"/>
                <w:szCs w:val="18"/>
              </w:rPr>
              <w:t xml:space="preserve"> </w:t>
            </w:r>
            <w:r>
              <w:rPr>
                <w:rFonts w:ascii="宋体" w:hAnsi="宋体"/>
                <w:sz w:val="18"/>
                <w:szCs w:val="18"/>
              </w:rPr>
              <w:t>GB/T 20756—2006</w:t>
            </w:r>
          </w:p>
          <w:p w14:paraId="132D4FC2">
            <w:pPr>
              <w:snapToGrid w:val="0"/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或</w:t>
            </w:r>
          </w:p>
          <w:p w14:paraId="26CA8CEC">
            <w:pPr>
              <w:snapToGrid w:val="0"/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GB 31656.16-2022</w:t>
            </w:r>
          </w:p>
          <w:p w14:paraId="6FE6ACBF">
            <w:pPr>
              <w:snapToGrid w:val="0"/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或</w:t>
            </w:r>
          </w:p>
          <w:p w14:paraId="1AF8984D">
            <w:pPr>
              <w:snapToGrid w:val="0"/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GB/T 20361-2006</w:t>
            </w:r>
          </w:p>
          <w:p w14:paraId="3F3EF18F">
            <w:pPr>
              <w:snapToGrid w:val="0"/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或</w:t>
            </w:r>
          </w:p>
          <w:p w14:paraId="0C601730">
            <w:pPr>
              <w:snapToGrid w:val="0"/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GB/T 19857-2005</w:t>
            </w:r>
          </w:p>
          <w:p w14:paraId="1C41FCE7">
            <w:pPr>
              <w:snapToGrid w:val="0"/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或</w:t>
            </w:r>
          </w:p>
          <w:p w14:paraId="2043ABFA">
            <w:pPr>
              <w:snapToGrid w:val="0"/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GB</w:t>
            </w:r>
            <w:r>
              <w:rPr>
                <w:rFonts w:hint="eastAsia" w:ascii="宋体" w:hAnsi="宋体"/>
                <w:sz w:val="18"/>
                <w:szCs w:val="18"/>
              </w:rPr>
              <w:t xml:space="preserve"> </w:t>
            </w:r>
            <w:r>
              <w:rPr>
                <w:rFonts w:ascii="宋体" w:hAnsi="宋体"/>
                <w:sz w:val="18"/>
                <w:szCs w:val="18"/>
              </w:rPr>
              <w:t>31656.13-2021</w:t>
            </w:r>
          </w:p>
          <w:p w14:paraId="1A797DB2">
            <w:pPr>
              <w:snapToGrid w:val="0"/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或</w:t>
            </w:r>
          </w:p>
          <w:p w14:paraId="6FF29516">
            <w:pPr>
              <w:snapToGrid w:val="0"/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GB/T 21317-2007</w:t>
            </w:r>
          </w:p>
          <w:p w14:paraId="2EE6356F">
            <w:pPr>
              <w:snapToGrid w:val="0"/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或</w:t>
            </w:r>
          </w:p>
          <w:p w14:paraId="2E4A35F7">
            <w:pPr>
              <w:snapToGrid w:val="0"/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SN/T 3235-2012</w:t>
            </w:r>
          </w:p>
          <w:p w14:paraId="6F1D74E5">
            <w:pPr>
              <w:snapToGrid w:val="0"/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或</w:t>
            </w:r>
          </w:p>
          <w:p w14:paraId="5EBE7039">
            <w:pPr>
              <w:snapToGrid w:val="0"/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GB/T 21316-2007</w:t>
            </w:r>
          </w:p>
          <w:p w14:paraId="44C6AEB7">
            <w:pPr>
              <w:snapToGrid w:val="0"/>
              <w:spacing w:line="360" w:lineRule="auto"/>
              <w:jc w:val="center"/>
              <w:rPr>
                <w:rFonts w:hint="eastAsia" w:ascii="宋体" w:hAnsi="宋体"/>
                <w:sz w:val="18"/>
                <w:szCs w:val="18"/>
                <w:lang w:val="en"/>
              </w:rPr>
            </w:pPr>
            <w:r>
              <w:rPr>
                <w:rFonts w:hint="eastAsia" w:ascii="宋体" w:hAnsi="宋体"/>
                <w:sz w:val="18"/>
                <w:szCs w:val="18"/>
                <w:lang w:val="en"/>
              </w:rPr>
              <w:t>或</w:t>
            </w:r>
          </w:p>
          <w:p w14:paraId="221CE9E0">
            <w:pPr>
              <w:snapToGrid w:val="0"/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  <w:lang w:eastAsia="zh-CN"/>
              </w:rPr>
              <w:t>农业农村部</w:t>
            </w:r>
            <w:r>
              <w:rPr>
                <w:rFonts w:ascii="宋体" w:hAnsi="宋体"/>
                <w:sz w:val="18"/>
                <w:szCs w:val="18"/>
              </w:rPr>
              <w:t>783号公告-1-2006</w:t>
            </w:r>
          </w:p>
          <w:p w14:paraId="70C314B9">
            <w:pPr>
              <w:snapToGrid w:val="0"/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或</w:t>
            </w:r>
          </w:p>
          <w:p w14:paraId="2D45EA83">
            <w:pPr>
              <w:snapToGrid w:val="0"/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  <w:lang w:eastAsia="zh-CN"/>
              </w:rPr>
              <w:t>农业农村部</w:t>
            </w:r>
            <w:r>
              <w:rPr>
                <w:rFonts w:ascii="宋体" w:hAnsi="宋体"/>
                <w:sz w:val="18"/>
                <w:szCs w:val="18"/>
              </w:rPr>
              <w:t>1077号公告-1-2008</w:t>
            </w:r>
          </w:p>
          <w:p w14:paraId="41474FF9">
            <w:pPr>
              <w:snapToGrid w:val="0"/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或</w:t>
            </w:r>
          </w:p>
          <w:p w14:paraId="31AA47D4">
            <w:pPr>
              <w:snapToGrid w:val="0"/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实验室认证的其他方法</w:t>
            </w:r>
          </w:p>
        </w:tc>
      </w:tr>
      <w:tr w14:paraId="67644B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7" w:hRule="atLeast"/>
        </w:trPr>
        <w:tc>
          <w:tcPr>
            <w:tcW w:w="1985" w:type="dxa"/>
            <w:noWrap w:val="0"/>
            <w:vAlign w:val="center"/>
          </w:tcPr>
          <w:p w14:paraId="06C0A402">
            <w:pPr>
              <w:snapToGrid w:val="0"/>
              <w:spacing w:line="5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食品动物中停止使用药物</w:t>
            </w:r>
          </w:p>
        </w:tc>
        <w:tc>
          <w:tcPr>
            <w:tcW w:w="4962" w:type="dxa"/>
            <w:noWrap w:val="0"/>
            <w:vAlign w:val="center"/>
          </w:tcPr>
          <w:p w14:paraId="55D1D611">
            <w:pPr>
              <w:snapToGrid w:val="0"/>
              <w:spacing w:line="52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氟喹诺酮类（诺氟沙星、氧氟沙星、培氟沙星、洛美沙星）</w:t>
            </w:r>
          </w:p>
        </w:tc>
        <w:tc>
          <w:tcPr>
            <w:tcW w:w="2409" w:type="dxa"/>
            <w:vMerge w:val="continue"/>
            <w:noWrap w:val="0"/>
            <w:vAlign w:val="top"/>
          </w:tcPr>
          <w:p w14:paraId="75118958">
            <w:pPr>
              <w:snapToGrid w:val="0"/>
              <w:spacing w:line="520" w:lineRule="exact"/>
              <w:jc w:val="left"/>
              <w:rPr>
                <w:rFonts w:ascii="宋体" w:hAnsi="宋体"/>
                <w:sz w:val="24"/>
              </w:rPr>
            </w:pPr>
          </w:p>
        </w:tc>
      </w:tr>
      <w:tr w14:paraId="61146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</w:trPr>
        <w:tc>
          <w:tcPr>
            <w:tcW w:w="1985" w:type="dxa"/>
            <w:noWrap w:val="0"/>
            <w:vAlign w:val="center"/>
          </w:tcPr>
          <w:p w14:paraId="35EADC31">
            <w:pPr>
              <w:snapToGrid w:val="0"/>
              <w:spacing w:line="52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未批准在水产</w:t>
            </w:r>
          </w:p>
          <w:p w14:paraId="2B8BCE13">
            <w:pPr>
              <w:snapToGrid w:val="0"/>
              <w:spacing w:line="5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动物中使用药物</w:t>
            </w:r>
          </w:p>
        </w:tc>
        <w:tc>
          <w:tcPr>
            <w:tcW w:w="4962" w:type="dxa"/>
            <w:noWrap w:val="0"/>
            <w:vAlign w:val="center"/>
          </w:tcPr>
          <w:p w14:paraId="52011F7D">
            <w:pPr>
              <w:snapToGrid w:val="0"/>
              <w:spacing w:line="52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地西泮</w:t>
            </w:r>
          </w:p>
        </w:tc>
        <w:tc>
          <w:tcPr>
            <w:tcW w:w="2409" w:type="dxa"/>
            <w:vMerge w:val="continue"/>
            <w:noWrap w:val="0"/>
            <w:vAlign w:val="top"/>
          </w:tcPr>
          <w:p w14:paraId="0F9006FD">
            <w:pPr>
              <w:snapToGrid w:val="0"/>
              <w:spacing w:line="520" w:lineRule="exact"/>
              <w:jc w:val="left"/>
              <w:rPr>
                <w:rFonts w:ascii="宋体" w:hAnsi="宋体"/>
                <w:sz w:val="24"/>
              </w:rPr>
            </w:pPr>
          </w:p>
        </w:tc>
      </w:tr>
      <w:tr w14:paraId="0769D2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0" w:hRule="atLeast"/>
        </w:trPr>
        <w:tc>
          <w:tcPr>
            <w:tcW w:w="1985" w:type="dxa"/>
            <w:noWrap w:val="0"/>
            <w:vAlign w:val="center"/>
          </w:tcPr>
          <w:p w14:paraId="76696607">
            <w:pPr>
              <w:snapToGrid w:val="0"/>
              <w:spacing w:line="5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常规药物</w:t>
            </w:r>
          </w:p>
        </w:tc>
        <w:tc>
          <w:tcPr>
            <w:tcW w:w="4962" w:type="dxa"/>
            <w:noWrap w:val="0"/>
            <w:vAlign w:val="center"/>
          </w:tcPr>
          <w:p w14:paraId="7332CD05">
            <w:pPr>
              <w:snapToGrid w:val="0"/>
              <w:spacing w:line="52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酰胺醇类（甲砜霉素、氟苯尼考和氟苯尼考胺）</w:t>
            </w:r>
            <w:r>
              <w:rPr>
                <w:rFonts w:hint="eastAsia" w:ascii="宋体" w:hAnsi="宋体"/>
                <w:sz w:val="24"/>
              </w:rPr>
              <w:t>、</w:t>
            </w:r>
            <w:r>
              <w:rPr>
                <w:rFonts w:ascii="宋体" w:hAnsi="宋体"/>
                <w:sz w:val="24"/>
              </w:rPr>
              <w:t>磺胺类（磺胺嘧啶、磺胺二甲基嘧啶、磺胺甲基异噁唑、磺胺异噁唑、磺胺间二甲氧嘧啶</w:t>
            </w:r>
            <w:r>
              <w:rPr>
                <w:rFonts w:hint="eastAsia" w:ascii="宋体" w:hAnsi="宋体"/>
                <w:sz w:val="24"/>
              </w:rPr>
              <w:t>、磺胺噻唑、磺胺甲基嘧啶、磺胺多辛、磺胺喹噁啉、磺胺间甲氧嘧啶、磺胺氯哒嗪、磺胺甲噻二唑</w:t>
            </w:r>
            <w:r>
              <w:rPr>
                <w:rFonts w:ascii="宋体" w:hAnsi="宋体"/>
                <w:sz w:val="24"/>
              </w:rPr>
              <w:t>）</w:t>
            </w:r>
            <w:r>
              <w:rPr>
                <w:rFonts w:hint="eastAsia" w:ascii="宋体" w:hAnsi="宋体"/>
                <w:sz w:val="24"/>
              </w:rPr>
              <w:t>、</w:t>
            </w:r>
            <w:r>
              <w:rPr>
                <w:rFonts w:ascii="宋体" w:hAnsi="宋体"/>
                <w:sz w:val="24"/>
              </w:rPr>
              <w:t>氟喹诺酮类（恩诺沙星、环丙沙星）</w:t>
            </w:r>
          </w:p>
          <w:p w14:paraId="14916C67">
            <w:pPr>
              <w:snapToGrid w:val="0"/>
              <w:spacing w:line="520" w:lineRule="exact"/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抗菌增效剂（甲氧苄啶）</w:t>
            </w:r>
          </w:p>
        </w:tc>
        <w:tc>
          <w:tcPr>
            <w:tcW w:w="2409" w:type="dxa"/>
            <w:vMerge w:val="continue"/>
            <w:noWrap w:val="0"/>
            <w:vAlign w:val="top"/>
          </w:tcPr>
          <w:p w14:paraId="55A3D80E">
            <w:pPr>
              <w:snapToGrid w:val="0"/>
              <w:spacing w:line="520" w:lineRule="exact"/>
              <w:jc w:val="left"/>
              <w:rPr>
                <w:rFonts w:ascii="宋体" w:hAnsi="宋体"/>
                <w:sz w:val="24"/>
              </w:rPr>
            </w:pPr>
          </w:p>
        </w:tc>
      </w:tr>
    </w:tbl>
    <w:p w14:paraId="3023A9C3">
      <w:pPr>
        <w:spacing w:line="586" w:lineRule="exact"/>
        <w:rPr>
          <w:rFonts w:ascii="仿宋_GB2312" w:hAnsi="仿宋" w:eastAsia="仿宋_GB2312" w:cs="仿宋_GB2312"/>
          <w:kern w:val="1"/>
          <w:sz w:val="32"/>
          <w:szCs w:val="32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1814" w:right="1474" w:bottom="1418" w:left="1474" w:header="851" w:footer="1247" w:gutter="0"/>
          <w:pgNumType w:fmt="numberInDash"/>
          <w:cols w:space="720" w:num="1"/>
          <w:docGrid w:linePitch="286" w:charSpace="0"/>
        </w:sectPr>
      </w:pPr>
    </w:p>
    <w:p w14:paraId="0AEBD44E">
      <w:pPr>
        <w:tabs>
          <w:tab w:val="left" w:pos="5670"/>
        </w:tabs>
        <w:spacing w:line="600" w:lineRule="exact"/>
        <w:jc w:val="left"/>
        <w:rPr>
          <w:rFonts w:ascii="Times New Roman" w:hAnsi="Times New Roman"/>
        </w:rPr>
      </w:pPr>
    </w:p>
    <w:sectPr>
      <w:headerReference r:id="rId6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1CBAAB">
    <w:pPr>
      <w:pStyle w:val="2"/>
      <w:jc w:val="right"/>
      <w:rPr>
        <w:color w:val="FFFFFF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 PAGE   \* MERGEFORMAT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19 -</w:t>
    </w:r>
    <w:r>
      <w:rPr>
        <w:rFonts w:ascii="宋体" w:hAnsi="宋体" w:eastAsia="宋体"/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47820E">
    <w:pPr>
      <w:pStyle w:val="2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 PAGE   \* MERGEFORMAT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20 -</w:t>
    </w:r>
    <w:r>
      <w:rPr>
        <w:rFonts w:ascii="宋体" w:hAnsi="宋体" w:eastAsia="宋体"/>
        <w:sz w:val="28"/>
        <w:szCs w:val="28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67A136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0E2CB3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6CD4236"/>
    <w:rsid w:val="0000580D"/>
    <w:rsid w:val="00005C84"/>
    <w:rsid w:val="00025D4E"/>
    <w:rsid w:val="00092EB0"/>
    <w:rsid w:val="000D7D1E"/>
    <w:rsid w:val="000F7870"/>
    <w:rsid w:val="00105BB0"/>
    <w:rsid w:val="0011115F"/>
    <w:rsid w:val="0019658C"/>
    <w:rsid w:val="00252144"/>
    <w:rsid w:val="00304080"/>
    <w:rsid w:val="00333253"/>
    <w:rsid w:val="00441D2E"/>
    <w:rsid w:val="004759DB"/>
    <w:rsid w:val="004D0363"/>
    <w:rsid w:val="004E6444"/>
    <w:rsid w:val="00583264"/>
    <w:rsid w:val="005A55A8"/>
    <w:rsid w:val="005D3874"/>
    <w:rsid w:val="006B3E68"/>
    <w:rsid w:val="00712552"/>
    <w:rsid w:val="00734F13"/>
    <w:rsid w:val="007A6644"/>
    <w:rsid w:val="00827C8E"/>
    <w:rsid w:val="00833601"/>
    <w:rsid w:val="00884588"/>
    <w:rsid w:val="009114D9"/>
    <w:rsid w:val="009922ED"/>
    <w:rsid w:val="009A2A58"/>
    <w:rsid w:val="009A44A0"/>
    <w:rsid w:val="009B66B2"/>
    <w:rsid w:val="009D47B9"/>
    <w:rsid w:val="009E1D06"/>
    <w:rsid w:val="009F0B8C"/>
    <w:rsid w:val="00A128B7"/>
    <w:rsid w:val="00A3115D"/>
    <w:rsid w:val="00A652EA"/>
    <w:rsid w:val="00AC7D68"/>
    <w:rsid w:val="00B5646B"/>
    <w:rsid w:val="00B63013"/>
    <w:rsid w:val="00B63AF0"/>
    <w:rsid w:val="00B75EFF"/>
    <w:rsid w:val="00B85222"/>
    <w:rsid w:val="00B85A18"/>
    <w:rsid w:val="00BD0819"/>
    <w:rsid w:val="00C07724"/>
    <w:rsid w:val="00C3550B"/>
    <w:rsid w:val="00C8191B"/>
    <w:rsid w:val="00C84440"/>
    <w:rsid w:val="00C927A0"/>
    <w:rsid w:val="00CE25A9"/>
    <w:rsid w:val="00CF3BE9"/>
    <w:rsid w:val="00D2384A"/>
    <w:rsid w:val="00D34539"/>
    <w:rsid w:val="00D452B3"/>
    <w:rsid w:val="00D6344C"/>
    <w:rsid w:val="00DE4031"/>
    <w:rsid w:val="00E0098B"/>
    <w:rsid w:val="00E25D87"/>
    <w:rsid w:val="00E41F76"/>
    <w:rsid w:val="00E47BEE"/>
    <w:rsid w:val="00E507CA"/>
    <w:rsid w:val="00EB4AB3"/>
    <w:rsid w:val="00EC1438"/>
    <w:rsid w:val="00F32C53"/>
    <w:rsid w:val="00F42187"/>
    <w:rsid w:val="00F5440F"/>
    <w:rsid w:val="00FA3F80"/>
    <w:rsid w:val="00FC2178"/>
    <w:rsid w:val="00FF7468"/>
    <w:rsid w:val="037F7493"/>
    <w:rsid w:val="039B2B1D"/>
    <w:rsid w:val="03CA1F45"/>
    <w:rsid w:val="08691E83"/>
    <w:rsid w:val="0F386624"/>
    <w:rsid w:val="10573614"/>
    <w:rsid w:val="12E70DBD"/>
    <w:rsid w:val="19074ACE"/>
    <w:rsid w:val="19983DB8"/>
    <w:rsid w:val="1AF81871"/>
    <w:rsid w:val="1B610AF6"/>
    <w:rsid w:val="1D877803"/>
    <w:rsid w:val="1DAA2BA7"/>
    <w:rsid w:val="1F5C192C"/>
    <w:rsid w:val="1FE81A10"/>
    <w:rsid w:val="20C23DD8"/>
    <w:rsid w:val="24063C97"/>
    <w:rsid w:val="24494F21"/>
    <w:rsid w:val="26A33F1D"/>
    <w:rsid w:val="274A4AA8"/>
    <w:rsid w:val="2B745AEE"/>
    <w:rsid w:val="2BA51359"/>
    <w:rsid w:val="2C0370DE"/>
    <w:rsid w:val="2DB35CAA"/>
    <w:rsid w:val="2E8C67F1"/>
    <w:rsid w:val="354545CE"/>
    <w:rsid w:val="36217E31"/>
    <w:rsid w:val="37854832"/>
    <w:rsid w:val="397915AA"/>
    <w:rsid w:val="3AB230BE"/>
    <w:rsid w:val="3B0B570B"/>
    <w:rsid w:val="3E264833"/>
    <w:rsid w:val="3EFF0293"/>
    <w:rsid w:val="3FEEA8CB"/>
    <w:rsid w:val="431F7064"/>
    <w:rsid w:val="432C57A8"/>
    <w:rsid w:val="47FEC354"/>
    <w:rsid w:val="4ADF2964"/>
    <w:rsid w:val="51026512"/>
    <w:rsid w:val="5F6D497C"/>
    <w:rsid w:val="5FDF5C2E"/>
    <w:rsid w:val="61FC718F"/>
    <w:rsid w:val="646B18C3"/>
    <w:rsid w:val="6A2536AA"/>
    <w:rsid w:val="73D7A754"/>
    <w:rsid w:val="73F7DF8D"/>
    <w:rsid w:val="75817108"/>
    <w:rsid w:val="76CD4236"/>
    <w:rsid w:val="7729B20D"/>
    <w:rsid w:val="776DCA72"/>
    <w:rsid w:val="78733A94"/>
    <w:rsid w:val="7A7300F1"/>
    <w:rsid w:val="7DD818AB"/>
    <w:rsid w:val="8EDF561D"/>
    <w:rsid w:val="BB2D2551"/>
    <w:rsid w:val="C7DFBE4B"/>
    <w:rsid w:val="DF5AC915"/>
    <w:rsid w:val="DFCF41C5"/>
    <w:rsid w:val="DFF218CA"/>
    <w:rsid w:val="EF8A0D22"/>
    <w:rsid w:val="F28F589C"/>
    <w:rsid w:val="F29DE798"/>
    <w:rsid w:val="F655818A"/>
    <w:rsid w:val="FDF7BB1D"/>
    <w:rsid w:val="FF7EEC8E"/>
    <w:rsid w:val="FFF588EE"/>
  </w:rsids>
  <m:mathPr>
    <m:mathFont m:val="Cambria Math"/>
    <m:brkBin m:val="before"/>
    <m:brkBinSub m:val="--"/>
    <m:smallFrac m:val="1"/>
    <m:dispDef/>
    <m:lMargin m:val="1440"/>
    <m:rMargin m:val="144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 w:locked="1"/>
    <w:lsdException w:uiPriority="99" w:name="heading 2" w:locked="1"/>
    <w:lsdException w:uiPriority="99" w:name="heading 3" w:locked="1"/>
    <w:lsdException w:uiPriority="99" w:name="heading 4" w:locked="1"/>
    <w:lsdException w:uiPriority="99" w:name="heading 5" w:locked="1"/>
    <w:lsdException w:uiPriority="99" w:name="heading 6" w:locked="1"/>
    <w:lsdException w:uiPriority="99" w:name="heading 7" w:locked="1"/>
    <w:lsdException w:uiPriority="99" w:name="heading 8" w:locked="1"/>
    <w:lsdException w:uiPriority="9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99" w:name="toc 1" w:locked="1"/>
    <w:lsdException w:uiPriority="99" w:name="toc 2" w:locked="1"/>
    <w:lsdException w:uiPriority="99" w:name="toc 3" w:locked="1"/>
    <w:lsdException w:uiPriority="99" w:name="toc 4" w:locked="1"/>
    <w:lsdException w:uiPriority="99" w:name="toc 5" w:locked="1"/>
    <w:lsdException w:uiPriority="99" w:name="toc 6" w:locked="1"/>
    <w:lsdException w:uiPriority="99" w:name="toc 7" w:locked="1"/>
    <w:lsdException w:uiPriority="99" w:name="toc 8" w:locked="1"/>
    <w:lsdException w:uiPriority="99" w:name="toc 9" w:locked="1"/>
    <w:lsdException w:uiPriority="99" w:name="Normal Indent" w:locked="1"/>
    <w:lsdException w:uiPriority="99" w:name="footnote text" w:locked="1"/>
    <w:lsdException w:uiPriority="99" w:name="annotation text" w:locked="1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uiPriority="99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unhideWhenUsed="0" w:uiPriority="99" w:semiHidden="0" w:name="Title" w:locked="1"/>
    <w:lsdException w:uiPriority="99" w:name="Closing" w:locked="1"/>
    <w:lsdException w:uiPriority="99" w:name="Signature" w:locked="1"/>
    <w:lsdException w:qFormat="1" w:uiPriority="1" w:name="Default Paragraph Font"/>
    <w:lsdException w:uiPriority="99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unhideWhenUsed="0" w:uiPriority="99" w:semiHidden="0" w:name="Subtitle" w:locked="1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uiPriority="99" w:name="Hyperlink" w:locked="1"/>
    <w:lsdException w:uiPriority="99" w:name="FollowedHyperlink" w:locked="1"/>
    <w:lsdException w:qFormat="1" w:unhideWhenUsed="0" w:uiPriority="99" w:semiHidden="0" w:name="Strong"/>
    <w:lsdException w:unhideWhenUsed="0" w:uiPriority="99" w:semiHidden="0" w:name="Emphasis" w:locked="1"/>
    <w:lsdException w:uiPriority="99" w:name="Document Map" w:locked="1"/>
    <w:lsdException w:uiPriority="99" w:name="Plain Text" w:locked="1"/>
    <w:lsdException w:uiPriority="99" w:name="E-mail Signature" w:locked="1"/>
    <w:lsdException w:qFormat="1" w:unhideWhenUsed="0" w:uiPriority="99" w:semiHidden="0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uiPriority="99" w:name="Balloon Text" w:locked="1"/>
    <w:lsdException w:unhideWhenUsed="0" w:uiPriority="99" w:semiHidden="0" w:name="Table Grid" w:locked="1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character" w:styleId="7">
    <w:name w:val="Strong"/>
    <w:qFormat/>
    <w:uiPriority w:val="99"/>
    <w:rPr>
      <w:rFonts w:cs="Times New Roman"/>
      <w:b/>
    </w:rPr>
  </w:style>
  <w:style w:type="character" w:customStyle="1" w:styleId="8">
    <w:name w:val="页眉 字符"/>
    <w:link w:val="3"/>
    <w:semiHidden/>
    <w:qFormat/>
    <w:uiPriority w:val="99"/>
    <w:rPr>
      <w:rFonts w:ascii="Calibri" w:hAnsi="Calibri" w:cs="Times New Roman"/>
      <w:sz w:val="18"/>
      <w:szCs w:val="18"/>
    </w:rPr>
  </w:style>
  <w:style w:type="character" w:customStyle="1" w:styleId="9">
    <w:name w:val="页脚 字符"/>
    <w:link w:val="2"/>
    <w:semiHidden/>
    <w:qFormat/>
    <w:uiPriority w:val="99"/>
    <w:rPr>
      <w:rFonts w:ascii="Calibri" w:hAnsi="Calibri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504</Words>
  <Characters>2879</Characters>
  <Lines>23</Lines>
  <Paragraphs>6</Paragraphs>
  <TotalTime>25</TotalTime>
  <ScaleCrop>false</ScaleCrop>
  <LinksUpToDate>false</LinksUpToDate>
  <CharactersWithSpaces>3377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2024-05-30T01:56:00Z</dcterms:created>
  <dc:creator>HP</dc:creator>
  <cp:lastModifiedBy>gp</cp:lastModifiedBy>
  <cp:lastPrinted>2025-04-09T06:52:00Z</cp:lastPrinted>
  <dcterms:modified xsi:type="dcterms:W3CDTF">2026-08-18T10:04:18Z</dcterms:modified>
  <dc:title>高平市农业农村局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F9790D7A124E79546EBC836A90858EEB_43</vt:lpwstr>
  </property>
</Properties>
</file>