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2BE282">
      <w:pPr>
        <w:widowControl w:val="0"/>
        <w:spacing w:before="156" w:beforeLines="50" w:after="156" w:afterLines="50" w:line="240" w:lineRule="atLeast"/>
        <w:ind w:firstLine="0" w:firstLineChars="0"/>
        <w:jc w:val="center"/>
        <w:rPr>
          <w:rFonts w:hint="eastAsia" w:ascii="Times New Roman" w:hAnsi="Times New Roman" w:eastAsia="仿宋" w:cs="Times New Roman"/>
          <w:b/>
          <w:kern w:val="2"/>
          <w:sz w:val="44"/>
          <w:szCs w:val="22"/>
          <w:lang w:val="en-US" w:eastAsia="zh-CN" w:bidi="ar-SA"/>
        </w:rPr>
      </w:pPr>
    </w:p>
    <w:p w14:paraId="40A56A1E">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41318EB8">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75A95F58">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bookmarkStart w:id="0" w:name="_Hlk97635069"/>
      <w:r>
        <w:rPr>
          <w:rFonts w:hint="eastAsia" w:ascii="Times New Roman" w:hAnsi="Times New Roman" w:eastAsia="仿宋" w:cs="Times New Roman"/>
          <w:b/>
          <w:kern w:val="2"/>
          <w:sz w:val="44"/>
          <w:szCs w:val="22"/>
          <w:lang w:val="en-US" w:eastAsia="zh-CN" w:bidi="ar-SA"/>
        </w:rPr>
        <w:t>高平市2025年土地征收成片开发方案</w:t>
      </w:r>
    </w:p>
    <w:bookmarkEnd w:id="0"/>
    <w:p w14:paraId="63EF8502">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4134A9C1">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6939D300">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7E52DDB4">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0D4C0F48">
      <w:pPr>
        <w:widowControl w:val="0"/>
        <w:spacing w:before="156" w:beforeLines="50" w:after="156" w:afterLines="50" w:line="240" w:lineRule="atLeast"/>
        <w:ind w:firstLine="0" w:firstLineChars="0"/>
        <w:jc w:val="center"/>
        <w:rPr>
          <w:rFonts w:hint="default"/>
          <w:sz w:val="21"/>
          <w:szCs w:val="21"/>
          <w:lang w:val="en-US" w:eastAsia="zh-CN"/>
        </w:rPr>
      </w:pPr>
    </w:p>
    <w:p w14:paraId="286915F7">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30BB3FD4">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4081D1E8">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6F66CBBC">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284DE03D">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18C3BF1B">
      <w:pPr>
        <w:widowControl w:val="0"/>
        <w:spacing w:before="156" w:beforeLines="50" w:after="156" w:afterLines="50" w:line="240" w:lineRule="atLeast"/>
        <w:ind w:firstLine="0" w:firstLineChars="0"/>
        <w:jc w:val="center"/>
        <w:rPr>
          <w:rFonts w:hint="default" w:ascii="Times New Roman" w:hAnsi="Times New Roman" w:eastAsia="仿宋" w:cs="Times New Roman"/>
          <w:b/>
          <w:kern w:val="2"/>
          <w:sz w:val="44"/>
          <w:szCs w:val="22"/>
          <w:lang w:val="en-US" w:eastAsia="zh-CN" w:bidi="ar-SA"/>
        </w:rPr>
      </w:pPr>
    </w:p>
    <w:p w14:paraId="03061179">
      <w:pPr>
        <w:widowControl w:val="0"/>
        <w:spacing w:before="156" w:beforeLines="50" w:after="156" w:afterLines="50" w:line="240" w:lineRule="atLeast"/>
        <w:ind w:firstLine="0" w:firstLineChars="0"/>
        <w:jc w:val="center"/>
        <w:rPr>
          <w:rFonts w:hint="default" w:ascii="Times New Roman" w:hAnsi="Times New Roman" w:eastAsia="仿宋" w:cs="Times New Roman"/>
          <w:color w:val="auto"/>
          <w:kern w:val="2"/>
          <w:sz w:val="32"/>
          <w:szCs w:val="22"/>
          <w:lang w:val="en-US" w:eastAsia="zh-CN" w:bidi="ar-SA"/>
        </w:rPr>
      </w:pPr>
      <w:r>
        <w:rPr>
          <w:rFonts w:hint="eastAsia" w:ascii="Times New Roman" w:hAnsi="Times New Roman" w:eastAsia="仿宋" w:cs="Times New Roman"/>
          <w:kern w:val="2"/>
          <w:sz w:val="32"/>
          <w:szCs w:val="22"/>
          <w:lang w:val="en-US" w:eastAsia="zh-CN" w:bidi="ar-SA"/>
        </w:rPr>
        <w:t>高平市</w:t>
      </w:r>
      <w:r>
        <w:rPr>
          <w:rFonts w:hint="default" w:ascii="Times New Roman" w:hAnsi="Times New Roman" w:eastAsia="仿宋" w:cs="Times New Roman"/>
          <w:color w:val="auto"/>
          <w:kern w:val="2"/>
          <w:sz w:val="32"/>
          <w:szCs w:val="22"/>
          <w:lang w:val="en-US" w:eastAsia="zh-CN" w:bidi="ar-SA"/>
        </w:rPr>
        <w:t>人民政府</w:t>
      </w:r>
    </w:p>
    <w:p w14:paraId="44E7F57F">
      <w:pPr>
        <w:widowControl w:val="0"/>
        <w:spacing w:before="156" w:beforeLines="50" w:after="156" w:afterLines="50" w:line="240" w:lineRule="atLeast"/>
        <w:ind w:firstLine="0" w:firstLineChars="0"/>
        <w:jc w:val="center"/>
        <w:rPr>
          <w:rFonts w:hint="default" w:ascii="Times New Roman" w:hAnsi="Times New Roman" w:eastAsia="仿宋" w:cs="Times New Roman"/>
          <w:kern w:val="2"/>
          <w:sz w:val="32"/>
          <w:szCs w:val="22"/>
          <w:lang w:val="en-US" w:eastAsia="zh-CN" w:bidi="ar-SA"/>
        </w:rPr>
      </w:pPr>
      <w:r>
        <w:rPr>
          <w:rFonts w:hint="default" w:ascii="Times New Roman" w:hAnsi="Times New Roman" w:eastAsia="仿宋" w:cs="Times New Roman"/>
          <w:kern w:val="2"/>
          <w:sz w:val="32"/>
          <w:szCs w:val="22"/>
          <w:lang w:val="en-US" w:eastAsia="zh-CN" w:bidi="ar-SA"/>
        </w:rPr>
        <w:t>202</w:t>
      </w:r>
      <w:r>
        <w:rPr>
          <w:rFonts w:hint="eastAsia" w:ascii="Times New Roman" w:hAnsi="Times New Roman" w:eastAsia="仿宋" w:cs="Times New Roman"/>
          <w:kern w:val="2"/>
          <w:sz w:val="32"/>
          <w:szCs w:val="22"/>
          <w:lang w:val="en-US" w:eastAsia="zh-CN" w:bidi="ar-SA"/>
        </w:rPr>
        <w:t>5</w:t>
      </w:r>
      <w:r>
        <w:rPr>
          <w:rFonts w:hint="default" w:ascii="Times New Roman" w:hAnsi="Times New Roman" w:eastAsia="仿宋" w:cs="Times New Roman"/>
          <w:kern w:val="2"/>
          <w:sz w:val="32"/>
          <w:szCs w:val="22"/>
          <w:lang w:val="en-US" w:eastAsia="zh-CN" w:bidi="ar-SA"/>
        </w:rPr>
        <w:t>年</w:t>
      </w:r>
      <w:r>
        <w:rPr>
          <w:rFonts w:hint="eastAsia" w:ascii="Times New Roman" w:hAnsi="Times New Roman" w:eastAsia="仿宋" w:cs="Times New Roman"/>
          <w:kern w:val="2"/>
          <w:sz w:val="32"/>
          <w:szCs w:val="22"/>
          <w:lang w:val="en-US" w:eastAsia="zh-CN" w:bidi="ar-SA"/>
        </w:rPr>
        <w:t>2</w:t>
      </w:r>
      <w:r>
        <w:rPr>
          <w:rFonts w:hint="default" w:ascii="Times New Roman" w:hAnsi="Times New Roman" w:eastAsia="仿宋" w:cs="Times New Roman"/>
          <w:kern w:val="2"/>
          <w:sz w:val="32"/>
          <w:szCs w:val="22"/>
          <w:lang w:val="en-US" w:eastAsia="zh-CN" w:bidi="ar-SA"/>
        </w:rPr>
        <w:t>月</w:t>
      </w:r>
      <w:bookmarkStart w:id="1" w:name="_Hlk96949269"/>
      <w:bookmarkEnd w:id="1"/>
    </w:p>
    <w:p w14:paraId="1B699F52">
      <w:pPr>
        <w:pageBreakBefore w:val="0"/>
        <w:kinsoku/>
        <w:wordWrap/>
        <w:overflowPunct/>
        <w:topLinePunct w:val="0"/>
        <w:autoSpaceDE/>
        <w:autoSpaceDN/>
        <w:bidi w:val="0"/>
        <w:adjustRightInd/>
        <w:snapToGrid/>
        <w:spacing w:line="360" w:lineRule="auto"/>
        <w:ind w:left="0" w:leftChars="0" w:firstLine="2100" w:firstLineChars="700"/>
        <w:jc w:val="both"/>
        <w:textAlignment w:val="auto"/>
        <w:outlineLvl w:val="9"/>
        <w:rPr>
          <w:rFonts w:hint="default" w:ascii="黑体" w:hAnsi="黑体" w:eastAsia="黑体" w:cs="黑体"/>
          <w:b w:val="0"/>
          <w:bCs w:val="0"/>
          <w:sz w:val="30"/>
          <w:szCs w:val="30"/>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237A55D">
      <w:pPr>
        <w:pageBreakBefore w:val="0"/>
        <w:kinsoku/>
        <w:wordWrap/>
        <w:overflowPunct/>
        <w:topLinePunct w:val="0"/>
        <w:autoSpaceDE/>
        <w:autoSpaceDN/>
        <w:bidi w:val="0"/>
        <w:adjustRightInd/>
        <w:snapToGrid/>
        <w:spacing w:line="360" w:lineRule="auto"/>
        <w:ind w:left="0" w:leftChars="0" w:firstLine="2100" w:firstLineChars="700"/>
        <w:jc w:val="both"/>
        <w:textAlignment w:val="auto"/>
        <w:outlineLvl w:val="9"/>
        <w:rPr>
          <w:rFonts w:hint="default" w:ascii="黑体" w:hAnsi="黑体" w:eastAsia="黑体" w:cs="黑体"/>
          <w:b w:val="0"/>
          <w:bCs w:val="0"/>
          <w:sz w:val="30"/>
          <w:szCs w:val="30"/>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01BCCAF">
      <w:pPr>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eastAsiaTheme="minorEastAsia"/>
          <w:b w:val="0"/>
          <w:bCs w:val="0"/>
          <w:kern w:val="2"/>
          <w:sz w:val="21"/>
          <w:szCs w:val="21"/>
          <w:lang w:val="zh-CN" w:eastAsia="zh-CN" w:bidi="ar-SA"/>
        </w:rPr>
      </w:pPr>
      <w:r>
        <w:rPr>
          <w:rFonts w:hint="default" w:ascii="Times New Roman" w:hAnsi="Times New Roman" w:cs="Times New Roman" w:eastAsiaTheme="minorEastAsia"/>
          <w:b w:val="0"/>
          <w:bCs w:val="0"/>
          <w:kern w:val="2"/>
          <w:sz w:val="21"/>
          <w:szCs w:val="21"/>
          <w:lang w:val="zh-CN" w:eastAsia="zh-CN" w:bidi="ar-SA"/>
        </w:rPr>
        <w:drawing>
          <wp:inline distT="0" distB="0" distL="114300" distR="114300">
            <wp:extent cx="5326380" cy="3967480"/>
            <wp:effectExtent l="0" t="0" r="7620" b="13970"/>
            <wp:docPr id="88" name="图片 88" descr="城乡规划编制资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城乡规划编制资质"/>
                    <pic:cNvPicPr>
                      <a:picLocks noChangeAspect="1"/>
                    </pic:cNvPicPr>
                  </pic:nvPicPr>
                  <pic:blipFill>
                    <a:blip r:embed="rId9"/>
                    <a:srcRect l="6803" t="5414" r="5734" b="2406"/>
                    <a:stretch>
                      <a:fillRect/>
                    </a:stretch>
                  </pic:blipFill>
                  <pic:spPr>
                    <a:xfrm>
                      <a:off x="0" y="0"/>
                      <a:ext cx="5326380" cy="3967480"/>
                    </a:xfrm>
                    <a:prstGeom prst="rect">
                      <a:avLst/>
                    </a:prstGeom>
                  </pic:spPr>
                </pic:pic>
              </a:graphicData>
            </a:graphic>
          </wp:inline>
        </w:drawing>
      </w:r>
    </w:p>
    <w:p w14:paraId="3E90E46C">
      <w:pPr>
        <w:pageBreakBefore w:val="0"/>
        <w:kinsoku/>
        <w:wordWrap/>
        <w:overflowPunct/>
        <w:topLinePunct w:val="0"/>
        <w:autoSpaceDE/>
        <w:autoSpaceDN/>
        <w:bidi w:val="0"/>
        <w:adjustRightInd/>
        <w:snapToGrid/>
        <w:spacing w:afterLines="100" w:line="360" w:lineRule="auto"/>
        <w:ind w:left="0" w:leftChars="0" w:firstLine="0" w:firstLineChars="0"/>
        <w:jc w:val="center"/>
        <w:textAlignment w:val="auto"/>
        <w:outlineLvl w:val="9"/>
        <w:rPr>
          <w:rFonts w:hint="default" w:ascii="Times New Roman" w:hAnsi="Times New Roman" w:cs="Times New Roman" w:eastAsiaTheme="minorEastAsia"/>
          <w:b w:val="0"/>
          <w:bCs w:val="0"/>
          <w:sz w:val="24"/>
          <w:szCs w:val="24"/>
          <w:lang w:bidi="ar-SA"/>
        </w:rPr>
      </w:pPr>
      <w:r>
        <w:rPr>
          <w:rFonts w:hint="default" w:ascii="Times New Roman" w:hAnsi="Times New Roman" w:cs="Times New Roman" w:eastAsiaTheme="minorEastAsia"/>
          <w:b/>
          <w:bCs/>
          <w:sz w:val="32"/>
          <w:szCs w:val="32"/>
          <w:lang w:bidi="ar-SA"/>
        </w:rPr>
        <w:t>编制人员基本情况</w:t>
      </w:r>
    </w:p>
    <w:tbl>
      <w:tblPr>
        <w:tblStyle w:val="18"/>
        <w:tblW w:w="480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08" w:type="dxa"/>
          <w:left w:w="108" w:type="dxa"/>
          <w:bottom w:w="0" w:type="dxa"/>
          <w:right w:w="108" w:type="dxa"/>
        </w:tblCellMar>
      </w:tblPr>
      <w:tblGrid>
        <w:gridCol w:w="1975"/>
        <w:gridCol w:w="2140"/>
        <w:gridCol w:w="2140"/>
        <w:gridCol w:w="1940"/>
      </w:tblGrid>
      <w:tr w14:paraId="5F808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26D45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姓名</w:t>
            </w:r>
          </w:p>
        </w:tc>
        <w:tc>
          <w:tcPr>
            <w:tcW w:w="1305" w:type="pct"/>
            <w:noWrap w:val="0"/>
            <w:vAlign w:val="center"/>
          </w:tcPr>
          <w:p w14:paraId="5F344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职责</w:t>
            </w:r>
          </w:p>
        </w:tc>
        <w:tc>
          <w:tcPr>
            <w:tcW w:w="1305" w:type="pct"/>
            <w:noWrap w:val="0"/>
            <w:vAlign w:val="center"/>
          </w:tcPr>
          <w:p w14:paraId="2280D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职称</w:t>
            </w:r>
          </w:p>
        </w:tc>
        <w:tc>
          <w:tcPr>
            <w:tcW w:w="1183" w:type="pct"/>
            <w:noWrap w:val="0"/>
            <w:vAlign w:val="center"/>
          </w:tcPr>
          <w:p w14:paraId="0F9CF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签名</w:t>
            </w:r>
          </w:p>
        </w:tc>
      </w:tr>
      <w:tr w14:paraId="53A33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761CB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val="en-US" w:eastAsia="zh-CN" w:bidi="ar-SA"/>
              </w:rPr>
            </w:pPr>
            <w:r>
              <w:rPr>
                <w:rFonts w:hint="default" w:ascii="Times New Roman" w:hAnsi="Times New Roman" w:cs="Times New Roman" w:eastAsiaTheme="minorEastAsia"/>
                <w:b w:val="0"/>
                <w:bCs w:val="0"/>
                <w:sz w:val="24"/>
                <w:szCs w:val="24"/>
                <w:lang w:val="en-US" w:eastAsia="zh-CN" w:bidi="ar-SA"/>
              </w:rPr>
              <w:t>胡慧兵</w:t>
            </w:r>
          </w:p>
        </w:tc>
        <w:tc>
          <w:tcPr>
            <w:tcW w:w="1305" w:type="pct"/>
            <w:noWrap w:val="0"/>
            <w:vAlign w:val="center"/>
          </w:tcPr>
          <w:p w14:paraId="0B54D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项目负责人</w:t>
            </w:r>
          </w:p>
        </w:tc>
        <w:tc>
          <w:tcPr>
            <w:tcW w:w="1305" w:type="pct"/>
            <w:noWrap w:val="0"/>
            <w:vAlign w:val="center"/>
          </w:tcPr>
          <w:p w14:paraId="72203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val="en-US" w:eastAsia="zh-CN" w:bidi="ar-SA"/>
              </w:rPr>
              <w:t>注册城乡规划</w:t>
            </w:r>
            <w:r>
              <w:rPr>
                <w:rFonts w:hint="default" w:ascii="Times New Roman" w:hAnsi="Times New Roman" w:cs="Times New Roman" w:eastAsiaTheme="minorEastAsia"/>
                <w:b w:val="0"/>
                <w:bCs w:val="0"/>
                <w:sz w:val="24"/>
                <w:szCs w:val="24"/>
                <w:lang w:bidi="ar-SA"/>
              </w:rPr>
              <w:t>师</w:t>
            </w:r>
          </w:p>
        </w:tc>
        <w:tc>
          <w:tcPr>
            <w:tcW w:w="1183" w:type="pct"/>
            <w:noWrap w:val="0"/>
            <w:vAlign w:val="center"/>
          </w:tcPr>
          <w:p w14:paraId="70EFBA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7098E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7643A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val="en-US" w:eastAsia="zh-CN" w:bidi="ar-SA"/>
              </w:rPr>
            </w:pPr>
            <w:r>
              <w:rPr>
                <w:rFonts w:hint="default" w:ascii="Times New Roman" w:hAnsi="Times New Roman" w:cs="Times New Roman" w:eastAsiaTheme="minorEastAsia"/>
                <w:b w:val="0"/>
                <w:bCs w:val="0"/>
                <w:sz w:val="24"/>
                <w:szCs w:val="24"/>
                <w:lang w:val="en-US" w:eastAsia="zh-CN" w:bidi="ar-SA"/>
              </w:rPr>
              <w:t>徐嵩</w:t>
            </w:r>
          </w:p>
        </w:tc>
        <w:tc>
          <w:tcPr>
            <w:tcW w:w="1305" w:type="pct"/>
            <w:noWrap w:val="0"/>
            <w:vAlign w:val="center"/>
          </w:tcPr>
          <w:p w14:paraId="75A8E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质检负责人</w:t>
            </w:r>
          </w:p>
        </w:tc>
        <w:tc>
          <w:tcPr>
            <w:tcW w:w="1305" w:type="pct"/>
            <w:noWrap w:val="0"/>
            <w:vAlign w:val="center"/>
          </w:tcPr>
          <w:p w14:paraId="25DFB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bidi="ar-SA"/>
              </w:rPr>
            </w:pPr>
            <w:r>
              <w:rPr>
                <w:rFonts w:hint="default" w:ascii="Times New Roman" w:hAnsi="Times New Roman" w:cs="Times New Roman" w:eastAsiaTheme="minorEastAsia"/>
                <w:b w:val="0"/>
                <w:bCs w:val="0"/>
                <w:sz w:val="24"/>
                <w:szCs w:val="24"/>
                <w:lang w:bidi="ar-SA"/>
              </w:rPr>
              <w:t>注册城乡规划师</w:t>
            </w:r>
          </w:p>
        </w:tc>
        <w:tc>
          <w:tcPr>
            <w:tcW w:w="1183" w:type="pct"/>
            <w:noWrap w:val="0"/>
            <w:vAlign w:val="center"/>
          </w:tcPr>
          <w:p w14:paraId="3EFA648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094AF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4AA97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宋体" w:hAnsi="宋体" w:eastAsia="宋体" w:cs="宋体"/>
                <w:sz w:val="32"/>
                <w:szCs w:val="28"/>
                <w:lang w:val="en-US" w:eastAsia="zh-CN" w:bidi="ar-SA"/>
              </w:rPr>
            </w:pPr>
            <w:r>
              <w:rPr>
                <w:rFonts w:hint="eastAsia" w:ascii="Times New Roman" w:hAnsi="Times New Roman" w:cs="Times New Roman" w:eastAsiaTheme="minorEastAsia"/>
                <w:b w:val="0"/>
                <w:bCs w:val="0"/>
                <w:sz w:val="24"/>
                <w:szCs w:val="24"/>
                <w:highlight w:val="none"/>
                <w:lang w:val="en-US" w:eastAsia="zh-CN" w:bidi="ar-SA"/>
              </w:rPr>
              <w:t>杨银丝</w:t>
            </w:r>
          </w:p>
        </w:tc>
        <w:tc>
          <w:tcPr>
            <w:tcW w:w="1305" w:type="pct"/>
            <w:noWrap w:val="0"/>
            <w:vAlign w:val="center"/>
          </w:tcPr>
          <w:p w14:paraId="3806E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宋体" w:hAnsi="宋体" w:eastAsia="宋体" w:cs="宋体"/>
                <w:sz w:val="32"/>
                <w:szCs w:val="28"/>
                <w:lang w:val="en-US" w:eastAsia="zh-CN" w:bidi="ar-SA"/>
              </w:rPr>
            </w:pPr>
            <w:r>
              <w:rPr>
                <w:rFonts w:hint="eastAsia" w:ascii="Times New Roman" w:hAnsi="Times New Roman" w:cs="Times New Roman" w:eastAsiaTheme="minorEastAsia"/>
                <w:b w:val="0"/>
                <w:bCs w:val="0"/>
                <w:sz w:val="24"/>
                <w:szCs w:val="24"/>
                <w:lang w:val="en-US" w:eastAsia="zh-CN" w:bidi="ar-SA"/>
              </w:rPr>
              <w:t>主要编制人</w:t>
            </w:r>
          </w:p>
        </w:tc>
        <w:tc>
          <w:tcPr>
            <w:tcW w:w="1305" w:type="pct"/>
            <w:noWrap w:val="0"/>
            <w:vAlign w:val="center"/>
          </w:tcPr>
          <w:p w14:paraId="26D68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sz w:val="32"/>
                <w:szCs w:val="28"/>
                <w:lang w:eastAsia="zh-CN" w:bidi="ar-SA"/>
              </w:rPr>
            </w:pPr>
            <w:r>
              <w:rPr>
                <w:rFonts w:hint="eastAsia" w:ascii="Times New Roman" w:hAnsi="Times New Roman" w:cs="Times New Roman" w:eastAsiaTheme="minorEastAsia"/>
                <w:b w:val="0"/>
                <w:bCs w:val="0"/>
                <w:sz w:val="24"/>
                <w:szCs w:val="24"/>
                <w:lang w:val="en-US" w:eastAsia="zh-CN" w:bidi="ar-SA"/>
              </w:rPr>
              <w:t>技术员</w:t>
            </w:r>
          </w:p>
        </w:tc>
        <w:tc>
          <w:tcPr>
            <w:tcW w:w="1183" w:type="pct"/>
            <w:noWrap w:val="0"/>
            <w:vAlign w:val="center"/>
          </w:tcPr>
          <w:p w14:paraId="0973E2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1D4AE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71DA8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Times New Roman" w:hAnsi="Times New Roman" w:cs="Times New Roman" w:eastAsiaTheme="minorEastAsia"/>
                <w:b w:val="0"/>
                <w:bCs w:val="0"/>
                <w:sz w:val="24"/>
                <w:szCs w:val="24"/>
                <w:lang w:val="en-US" w:eastAsia="zh-CN" w:bidi="ar-SA"/>
              </w:rPr>
            </w:pPr>
            <w:r>
              <w:rPr>
                <w:rFonts w:hint="default" w:ascii="Times New Roman" w:hAnsi="Times New Roman" w:cs="Times New Roman" w:eastAsiaTheme="minorEastAsia"/>
                <w:b w:val="0"/>
                <w:bCs w:val="0"/>
                <w:sz w:val="24"/>
                <w:szCs w:val="24"/>
                <w:highlight w:val="none"/>
                <w:lang w:val="en-US" w:eastAsia="zh-CN" w:bidi="ar-SA"/>
              </w:rPr>
              <w:t>王茜茜</w:t>
            </w:r>
          </w:p>
        </w:tc>
        <w:tc>
          <w:tcPr>
            <w:tcW w:w="1305" w:type="pct"/>
            <w:noWrap w:val="0"/>
            <w:vAlign w:val="center"/>
          </w:tcPr>
          <w:p w14:paraId="77DC7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val="en-US" w:eastAsia="zh-CN" w:bidi="ar-SA"/>
              </w:rPr>
            </w:pPr>
            <w:r>
              <w:rPr>
                <w:rFonts w:hint="eastAsia" w:ascii="Times New Roman" w:hAnsi="Times New Roman" w:cs="Times New Roman" w:eastAsiaTheme="minorEastAsia"/>
                <w:b w:val="0"/>
                <w:bCs w:val="0"/>
                <w:sz w:val="24"/>
                <w:szCs w:val="24"/>
                <w:lang w:val="en-US" w:eastAsia="zh-CN" w:bidi="ar-SA"/>
              </w:rPr>
              <w:t>审核负责人</w:t>
            </w:r>
          </w:p>
        </w:tc>
        <w:tc>
          <w:tcPr>
            <w:tcW w:w="1305" w:type="pct"/>
            <w:noWrap w:val="0"/>
            <w:vAlign w:val="center"/>
          </w:tcPr>
          <w:p w14:paraId="733C7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bidi="ar-SA"/>
              </w:rPr>
            </w:pPr>
            <w:r>
              <w:rPr>
                <w:rFonts w:hint="eastAsia" w:ascii="Times New Roman" w:hAnsi="Times New Roman" w:cs="Times New Roman" w:eastAsiaTheme="minorEastAsia"/>
                <w:b w:val="0"/>
                <w:bCs w:val="0"/>
                <w:sz w:val="24"/>
                <w:szCs w:val="24"/>
                <w:lang w:val="en-US" w:eastAsia="zh-CN" w:bidi="ar-SA"/>
              </w:rPr>
              <w:t>技术员</w:t>
            </w:r>
          </w:p>
        </w:tc>
        <w:tc>
          <w:tcPr>
            <w:tcW w:w="1183" w:type="pct"/>
            <w:noWrap w:val="0"/>
            <w:vAlign w:val="center"/>
          </w:tcPr>
          <w:p w14:paraId="79BA52D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r w14:paraId="1FF07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8" w:type="dxa"/>
            <w:left w:w="108" w:type="dxa"/>
            <w:bottom w:w="0" w:type="dxa"/>
            <w:right w:w="108" w:type="dxa"/>
          </w:tblCellMar>
        </w:tblPrEx>
        <w:trPr>
          <w:trHeight w:val="1009" w:hRule="exact"/>
          <w:jc w:val="center"/>
        </w:trPr>
        <w:tc>
          <w:tcPr>
            <w:tcW w:w="1205" w:type="pct"/>
            <w:noWrap w:val="0"/>
            <w:vAlign w:val="center"/>
          </w:tcPr>
          <w:p w14:paraId="1B80B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Times New Roman" w:hAnsi="Times New Roman" w:cs="Times New Roman" w:eastAsiaTheme="minorEastAsia"/>
                <w:b w:val="0"/>
                <w:bCs w:val="0"/>
                <w:sz w:val="24"/>
                <w:szCs w:val="24"/>
                <w:lang w:val="en-US" w:eastAsia="zh-CN" w:bidi="ar-SA"/>
              </w:rPr>
            </w:pPr>
            <w:r>
              <w:rPr>
                <w:rFonts w:hint="eastAsia" w:ascii="Times New Roman" w:hAnsi="Times New Roman" w:cs="Times New Roman" w:eastAsiaTheme="minorEastAsia"/>
                <w:b w:val="0"/>
                <w:bCs w:val="0"/>
                <w:sz w:val="24"/>
                <w:szCs w:val="24"/>
                <w:highlight w:val="none"/>
                <w:lang w:val="en-US" w:eastAsia="zh-CN" w:bidi="ar-SA"/>
              </w:rPr>
              <w:t>杨俊玲</w:t>
            </w:r>
          </w:p>
        </w:tc>
        <w:tc>
          <w:tcPr>
            <w:tcW w:w="1305" w:type="pct"/>
            <w:noWrap w:val="0"/>
            <w:vAlign w:val="center"/>
          </w:tcPr>
          <w:p w14:paraId="30DE3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val="en-US" w:eastAsia="zh-CN" w:bidi="ar-SA"/>
              </w:rPr>
            </w:pPr>
            <w:r>
              <w:rPr>
                <w:rFonts w:hint="eastAsia" w:ascii="Times New Roman" w:hAnsi="Times New Roman" w:cs="Times New Roman" w:eastAsiaTheme="minorEastAsia"/>
                <w:b w:val="0"/>
                <w:bCs w:val="0"/>
                <w:sz w:val="24"/>
                <w:szCs w:val="24"/>
                <w:lang w:val="en-US" w:eastAsia="zh-CN" w:bidi="ar-SA"/>
              </w:rPr>
              <w:t>制图负责人</w:t>
            </w:r>
          </w:p>
        </w:tc>
        <w:tc>
          <w:tcPr>
            <w:tcW w:w="1305" w:type="pct"/>
            <w:noWrap w:val="0"/>
            <w:vAlign w:val="center"/>
          </w:tcPr>
          <w:p w14:paraId="0609E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default" w:ascii="Times New Roman" w:hAnsi="Times New Roman" w:cs="Times New Roman" w:eastAsiaTheme="minorEastAsia"/>
                <w:b w:val="0"/>
                <w:bCs w:val="0"/>
                <w:sz w:val="24"/>
                <w:szCs w:val="24"/>
                <w:lang w:bidi="ar-SA"/>
              </w:rPr>
            </w:pPr>
            <w:r>
              <w:rPr>
                <w:rFonts w:hint="eastAsia" w:ascii="Times New Roman" w:hAnsi="Times New Roman" w:cs="Times New Roman" w:eastAsiaTheme="minorEastAsia"/>
                <w:b w:val="0"/>
                <w:bCs w:val="0"/>
                <w:sz w:val="24"/>
                <w:szCs w:val="24"/>
                <w:lang w:val="en-US" w:eastAsia="zh-CN" w:bidi="ar-SA"/>
              </w:rPr>
              <w:t>技术员</w:t>
            </w:r>
          </w:p>
        </w:tc>
        <w:tc>
          <w:tcPr>
            <w:tcW w:w="1183" w:type="pct"/>
            <w:noWrap w:val="0"/>
            <w:vAlign w:val="center"/>
          </w:tcPr>
          <w:p w14:paraId="2DF1B47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32"/>
                <w:szCs w:val="28"/>
                <w:lang w:bidi="ar-SA"/>
              </w:rPr>
            </w:pPr>
          </w:p>
        </w:tc>
      </w:tr>
    </w:tbl>
    <w:p w14:paraId="412EBE24">
      <w:pPr>
        <w:pageBreakBefore w:val="0"/>
        <w:widowControl w:val="0"/>
        <w:kinsoku/>
        <w:wordWrap/>
        <w:overflowPunct/>
        <w:topLinePunct w:val="0"/>
        <w:autoSpaceDE/>
        <w:autoSpaceDN/>
        <w:bidi w:val="0"/>
        <w:adjustRightInd/>
        <w:snapToGrid/>
        <w:spacing w:line="360" w:lineRule="auto"/>
        <w:ind w:left="420" w:leftChars="200" w:firstLine="420" w:firstLineChars="200"/>
        <w:jc w:val="both"/>
        <w:textAlignment w:val="auto"/>
        <w:outlineLvl w:val="9"/>
        <w:rPr>
          <w:rFonts w:hint="default" w:ascii="Times New Roman" w:hAnsi="Times New Roman" w:cs="Times New Roman" w:eastAsiaTheme="minorEastAsia"/>
          <w:b w:val="0"/>
          <w:bCs w:val="0"/>
          <w:color w:val="000000"/>
          <w:kern w:val="2"/>
          <w:sz w:val="21"/>
          <w:szCs w:val="21"/>
          <w:lang w:val="zh-CN" w:eastAsia="zh-CN" w:bidi="ar-SA"/>
        </w:rPr>
      </w:pPr>
    </w:p>
    <w:p w14:paraId="5DA14A83">
      <w:pPr>
        <w:widowControl w:val="0"/>
        <w:spacing w:before="156" w:beforeLines="50" w:after="156" w:afterLines="50" w:line="240" w:lineRule="atLeast"/>
        <w:ind w:firstLine="0" w:firstLineChars="0"/>
        <w:jc w:val="center"/>
        <w:rPr>
          <w:rFonts w:hint="default" w:ascii="Times New Roman" w:hAnsi="Times New Roman" w:eastAsia="仿宋" w:cs="Times New Roman"/>
          <w:kern w:val="2"/>
          <w:sz w:val="32"/>
          <w:szCs w:val="2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143B69C">
      <w:pPr>
        <w:widowControl w:val="0"/>
        <w:spacing w:before="156" w:beforeLines="50" w:after="156" w:afterLines="50" w:line="240" w:lineRule="auto"/>
        <w:ind w:firstLine="0" w:firstLineChars="0"/>
        <w:jc w:val="center"/>
        <w:rPr>
          <w:rFonts w:hint="default" w:ascii="Times New Roman" w:hAnsi="Times New Roman" w:eastAsia="仿宋" w:cs="Times New Roman"/>
          <w:b/>
          <w:bCs w:val="0"/>
          <w:kern w:val="2"/>
          <w:sz w:val="32"/>
          <w:szCs w:val="32"/>
          <w:lang w:val="en-US" w:eastAsia="zh-CN" w:bidi="ar-SA"/>
        </w:rPr>
      </w:pPr>
      <w:r>
        <w:rPr>
          <w:rFonts w:hint="default" w:ascii="Times New Roman" w:hAnsi="Times New Roman" w:eastAsia="仿宋" w:cs="Times New Roman"/>
          <w:b/>
          <w:bCs w:val="0"/>
          <w:kern w:val="2"/>
          <w:sz w:val="32"/>
          <w:szCs w:val="32"/>
          <w:lang w:val="en-US" w:eastAsia="zh-CN" w:bidi="ar-SA"/>
        </w:rPr>
        <w:t>目录</w:t>
      </w:r>
    </w:p>
    <w:p w14:paraId="3B18DFED">
      <w:pPr>
        <w:pStyle w:val="14"/>
        <w:tabs>
          <w:tab w:val="right" w:leader="dot" w:pos="8306"/>
        </w:tabs>
        <w:rPr>
          <w:rFonts w:hint="eastAsia" w:ascii="仿宋" w:hAnsi="仿宋" w:eastAsia="仿宋" w:cs="仿宋"/>
          <w:sz w:val="24"/>
          <w:szCs w:val="24"/>
        </w:rPr>
      </w:pPr>
      <w:r>
        <w:rPr>
          <w:rFonts w:hint="eastAsia" w:ascii="仿宋" w:hAnsi="仿宋" w:eastAsia="仿宋" w:cs="仿宋"/>
          <w:b w:val="0"/>
          <w:bCs/>
          <w:kern w:val="2"/>
          <w:sz w:val="24"/>
          <w:szCs w:val="24"/>
          <w:highlight w:val="none"/>
          <w:lang w:val="zh-CN" w:eastAsia="zh-CN" w:bidi="ar-SA"/>
        </w:rPr>
        <w:fldChar w:fldCharType="begin"/>
      </w:r>
      <w:r>
        <w:rPr>
          <w:rFonts w:hint="eastAsia" w:ascii="仿宋" w:hAnsi="仿宋" w:eastAsia="仿宋" w:cs="仿宋"/>
          <w:b w:val="0"/>
          <w:bCs/>
          <w:kern w:val="2"/>
          <w:sz w:val="24"/>
          <w:szCs w:val="24"/>
          <w:highlight w:val="none"/>
          <w:lang w:val="zh-CN" w:eastAsia="zh-CN" w:bidi="ar-SA"/>
        </w:rPr>
        <w:instrText xml:space="preserve"> TOC \o "1-2" \h \z \u </w:instrText>
      </w:r>
      <w:r>
        <w:rPr>
          <w:rFonts w:hint="eastAsia" w:ascii="仿宋" w:hAnsi="仿宋" w:eastAsia="仿宋" w:cs="仿宋"/>
          <w:b w:val="0"/>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_Toc9753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1.</w:t>
      </w:r>
      <w:r>
        <w:rPr>
          <w:rFonts w:hint="eastAsia" w:ascii="仿宋" w:hAnsi="仿宋" w:eastAsia="仿宋" w:cs="仿宋"/>
          <w:sz w:val="24"/>
          <w:szCs w:val="24"/>
          <w:lang w:val="en-US" w:eastAsia="zh-CN"/>
        </w:rPr>
        <w:t>概述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_Toc9753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C00985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_Toc12800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1.1.</w:t>
      </w:r>
      <w:r>
        <w:rPr>
          <w:rFonts w:hint="eastAsia" w:ascii="仿宋" w:hAnsi="仿宋" w:eastAsia="仿宋" w:cs="仿宋"/>
          <w:sz w:val="24"/>
          <w:szCs w:val="24"/>
          <w:lang w:val="en-US" w:eastAsia="zh-CN"/>
        </w:rPr>
        <w:t>方案的背景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_Toc12800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6A781C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_Toc25384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1.2.</w:t>
      </w:r>
      <w:r>
        <w:rPr>
          <w:rFonts w:hint="eastAsia" w:ascii="仿宋" w:hAnsi="仿宋" w:eastAsia="仿宋" w:cs="仿宋"/>
          <w:sz w:val="24"/>
          <w:szCs w:val="24"/>
          <w:highlight w:val="none"/>
          <w:lang w:val="en-US" w:eastAsia="zh-CN"/>
        </w:rPr>
        <w:t>编制原则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_Toc25384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D71EA3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_Toc8006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1.3.</w:t>
      </w:r>
      <w:r>
        <w:rPr>
          <w:rFonts w:hint="eastAsia" w:ascii="仿宋" w:hAnsi="仿宋" w:eastAsia="仿宋" w:cs="仿宋"/>
          <w:sz w:val="24"/>
          <w:szCs w:val="24"/>
          <w:lang w:val="en-US" w:eastAsia="zh-CN"/>
        </w:rPr>
        <w:t>方案的依据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_Toc8006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9570B7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_Toc20889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1.4.</w:t>
      </w:r>
      <w:r>
        <w:rPr>
          <w:rFonts w:hint="eastAsia" w:ascii="仿宋" w:hAnsi="仿宋" w:eastAsia="仿宋" w:cs="仿宋"/>
          <w:sz w:val="24"/>
          <w:szCs w:val="24"/>
          <w:lang w:val="en-US" w:eastAsia="zh-CN"/>
        </w:rPr>
        <w:t>实施时限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_Toc20889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F5B90D1">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_Toc17994 </w:instrText>
      </w:r>
      <w:r>
        <w:rPr>
          <w:rFonts w:hint="eastAsia" w:ascii="仿宋" w:hAnsi="仿宋" w:eastAsia="仿宋" w:cs="仿宋"/>
          <w:bCs/>
          <w:kern w:val="2"/>
          <w:sz w:val="24"/>
          <w:szCs w:val="24"/>
          <w:highlight w:val="none"/>
          <w:lang w:val="zh-CN" w:eastAsia="zh-CN" w:bidi="ar-SA"/>
        </w:rPr>
        <w:fldChar w:fldCharType="separate"/>
      </w:r>
      <w:r>
        <w:rPr>
          <w:rStyle w:val="34"/>
          <w:rFonts w:hint="eastAsia" w:ascii="仿宋" w:hAnsi="仿宋" w:eastAsia="仿宋" w:cs="仿宋"/>
          <w:sz w:val="24"/>
          <w:szCs w:val="24"/>
          <w:lang w:val="en-US" w:eastAsia="zh-CN"/>
        </w:rPr>
        <w:t>2.区域基本情况</w:t>
      </w:r>
      <w:r>
        <w:rPr>
          <w:rStyle w:val="34"/>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_Toc17994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D5671D4">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_Toc17958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2.1.</w:t>
      </w:r>
      <w:r>
        <w:rPr>
          <w:rFonts w:hint="eastAsia" w:ascii="仿宋" w:hAnsi="仿宋" w:eastAsia="仿宋" w:cs="仿宋"/>
          <w:sz w:val="24"/>
          <w:szCs w:val="24"/>
          <w:lang w:val="en-US" w:eastAsia="zh-CN"/>
        </w:rPr>
        <w:t>高平市成片开发总体情况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_Toc17958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833908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_Toc27130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2.2</w:t>
      </w:r>
      <w:r>
        <w:rPr>
          <w:rFonts w:hint="eastAsia" w:ascii="仿宋" w:hAnsi="仿宋" w:eastAsia="仿宋" w:cs="仿宋"/>
          <w:bCs/>
          <w:kern w:val="2"/>
          <w:sz w:val="24"/>
          <w:szCs w:val="24"/>
          <w:highlight w:val="none"/>
          <w:lang w:val="en-US" w:eastAsia="zh-CN"/>
        </w:rPr>
        <w:t>.</w:t>
      </w:r>
      <w:r>
        <w:rPr>
          <w:rFonts w:hint="eastAsia" w:ascii="仿宋" w:hAnsi="仿宋" w:eastAsia="仿宋" w:cs="仿宋"/>
          <w:sz w:val="24"/>
          <w:szCs w:val="24"/>
          <w:highlight w:val="none"/>
          <w:lang w:val="en-US" w:eastAsia="zh-CN"/>
        </w:rPr>
        <w:t>片区位置、面积和范围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_Toc27130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D8AEECA">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_Toc7351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2.3.</w:t>
      </w:r>
      <w:r>
        <w:rPr>
          <w:rFonts w:hint="eastAsia" w:ascii="仿宋" w:hAnsi="仿宋" w:eastAsia="仿宋" w:cs="仿宋"/>
          <w:sz w:val="24"/>
          <w:szCs w:val="24"/>
          <w:highlight w:val="none"/>
        </w:rPr>
        <w:t>土地利用现状情况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_Toc7351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683C938">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_Toc20612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2.4.</w:t>
      </w:r>
      <w:r>
        <w:rPr>
          <w:rFonts w:hint="eastAsia" w:ascii="仿宋" w:hAnsi="仿宋" w:eastAsia="仿宋" w:cs="仿宋"/>
          <w:sz w:val="24"/>
          <w:szCs w:val="24"/>
        </w:rPr>
        <w:t>土地权属情况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_Toc20612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A650585">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_Toc7429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2.5.</w:t>
      </w:r>
      <w:r>
        <w:rPr>
          <w:rFonts w:hint="eastAsia" w:ascii="仿宋" w:hAnsi="仿宋" w:eastAsia="仿宋" w:cs="仿宋"/>
          <w:sz w:val="24"/>
          <w:szCs w:val="24"/>
          <w:lang w:val="en-US" w:eastAsia="zh-CN"/>
        </w:rPr>
        <w:t>基础设施条件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_Toc7429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8C37E4A">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_Toc23542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3.</w:t>
      </w:r>
      <w:r>
        <w:rPr>
          <w:rFonts w:hint="eastAsia" w:ascii="仿宋" w:hAnsi="仿宋" w:eastAsia="仿宋" w:cs="仿宋"/>
          <w:sz w:val="24"/>
          <w:szCs w:val="24"/>
        </w:rPr>
        <w:t>方案的</w:t>
      </w:r>
      <w:r>
        <w:rPr>
          <w:rFonts w:hint="eastAsia" w:ascii="仿宋" w:hAnsi="仿宋" w:eastAsia="仿宋" w:cs="仿宋"/>
          <w:sz w:val="24"/>
          <w:szCs w:val="24"/>
          <w:lang w:val="en-US" w:eastAsia="zh-CN"/>
        </w:rPr>
        <w:t>必要性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_Toc23542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60168FA">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_Toc23862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3.1.</w:t>
      </w:r>
      <w:r>
        <w:rPr>
          <w:rFonts w:hint="eastAsia" w:ascii="仿宋" w:hAnsi="仿宋" w:eastAsia="仿宋" w:cs="仿宋"/>
          <w:sz w:val="24"/>
          <w:szCs w:val="24"/>
        </w:rPr>
        <w:t>进一步优化空间布局、促进国土空间规划的实施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_Toc23862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ECE444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_Toc23787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3.2.</w:t>
      </w:r>
      <w:r>
        <w:rPr>
          <w:rFonts w:hint="eastAsia" w:ascii="仿宋" w:hAnsi="仿宋" w:eastAsia="仿宋" w:cs="仿宋"/>
          <w:sz w:val="24"/>
          <w:szCs w:val="24"/>
        </w:rPr>
        <w:t>切实保护耕地，集约节约利用土地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_Toc23787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04F727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_Toc23133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3.3.</w:t>
      </w:r>
      <w:r>
        <w:rPr>
          <w:rFonts w:hint="eastAsia" w:ascii="仿宋" w:hAnsi="仿宋" w:eastAsia="仿宋" w:cs="仿宋"/>
          <w:sz w:val="24"/>
          <w:szCs w:val="24"/>
          <w:lang w:val="en-US" w:eastAsia="zh-CN"/>
        </w:rPr>
        <w:t>优化产业结构，推动项目建设落地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_Toc23133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3241C36">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_Toc6020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3.4.</w:t>
      </w:r>
      <w:r>
        <w:rPr>
          <w:rFonts w:hint="eastAsia" w:ascii="仿宋" w:hAnsi="仿宋" w:eastAsia="仿宋" w:cs="仿宋"/>
          <w:sz w:val="24"/>
          <w:szCs w:val="24"/>
        </w:rPr>
        <w:t>维护被征地农民的权益，多渠道增加农民收益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_Toc6020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5E7EF15">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_Toc32266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4.</w:t>
      </w:r>
      <w:r>
        <w:rPr>
          <w:rFonts w:hint="eastAsia" w:ascii="仿宋" w:hAnsi="仿宋" w:eastAsia="仿宋" w:cs="仿宋"/>
          <w:sz w:val="24"/>
          <w:szCs w:val="24"/>
        </w:rPr>
        <w:t>主要用途和实现的功能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_Toc32266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3E201D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_Toc30011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4.1.</w:t>
      </w:r>
      <w:r>
        <w:rPr>
          <w:rFonts w:hint="eastAsia" w:ascii="仿宋" w:hAnsi="仿宋" w:eastAsia="仿宋" w:cs="仿宋"/>
          <w:sz w:val="24"/>
          <w:szCs w:val="24"/>
        </w:rPr>
        <w:t>主要用途</w:t>
      </w:r>
      <w:r>
        <w:rPr>
          <w:rFonts w:hint="eastAsia" w:ascii="仿宋" w:hAnsi="仿宋" w:eastAsia="仿宋" w:cs="仿宋"/>
          <w:sz w:val="24"/>
          <w:szCs w:val="24"/>
          <w:lang w:val="en-US" w:eastAsia="zh-CN"/>
        </w:rPr>
        <w:t>和实现的功能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_Toc30011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FB08068">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_Toc16715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4.2.</w:t>
      </w:r>
      <w:r>
        <w:rPr>
          <w:rFonts w:hint="eastAsia" w:ascii="仿宋" w:hAnsi="仿宋" w:eastAsia="仿宋" w:cs="仿宋"/>
          <w:sz w:val="24"/>
          <w:szCs w:val="24"/>
          <w:highlight w:val="none"/>
          <w:lang w:val="en-US" w:eastAsia="zh-CN"/>
        </w:rPr>
        <w:t>各片区</w:t>
      </w:r>
      <w:r>
        <w:rPr>
          <w:rFonts w:hint="eastAsia" w:ascii="仿宋" w:hAnsi="仿宋" w:eastAsia="仿宋" w:cs="仿宋"/>
          <w:sz w:val="24"/>
          <w:szCs w:val="24"/>
          <w:highlight w:val="none"/>
        </w:rPr>
        <w:t>主要用途</w:t>
      </w:r>
      <w:r>
        <w:rPr>
          <w:rFonts w:hint="eastAsia" w:ascii="仿宋" w:hAnsi="仿宋" w:eastAsia="仿宋" w:cs="仿宋"/>
          <w:sz w:val="24"/>
          <w:szCs w:val="24"/>
          <w:highlight w:val="none"/>
          <w:lang w:val="en-US" w:eastAsia="zh-CN"/>
        </w:rPr>
        <w:t>和实现的功能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_Toc16715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6AF1D35">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_Toc29277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5.</w:t>
      </w:r>
      <w:r>
        <w:rPr>
          <w:rFonts w:hint="eastAsia" w:ascii="仿宋" w:hAnsi="仿宋" w:eastAsia="仿宋" w:cs="仿宋"/>
          <w:sz w:val="24"/>
          <w:szCs w:val="24"/>
          <w:lang w:val="en-US" w:eastAsia="zh-CN"/>
        </w:rPr>
        <w:t>拟</w:t>
      </w:r>
      <w:r>
        <w:rPr>
          <w:rFonts w:hint="eastAsia" w:ascii="仿宋" w:hAnsi="仿宋" w:eastAsia="仿宋" w:cs="仿宋"/>
          <w:sz w:val="24"/>
          <w:szCs w:val="24"/>
        </w:rPr>
        <w:t>安排的建设项目、开发时序和年度实施计划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_Toc29277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798E1D2">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_Toc24786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5.1.</w:t>
      </w:r>
      <w:r>
        <w:rPr>
          <w:rFonts w:hint="eastAsia" w:ascii="仿宋" w:hAnsi="仿宋" w:eastAsia="仿宋" w:cs="仿宋"/>
          <w:sz w:val="24"/>
          <w:szCs w:val="24"/>
          <w:lang w:val="en-US" w:eastAsia="zh-CN"/>
        </w:rPr>
        <w:t>拟安排的建设项目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_Toc24786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EDCC24D">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_Toc3107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5.2.</w:t>
      </w:r>
      <w:r>
        <w:rPr>
          <w:rFonts w:hint="eastAsia" w:ascii="仿宋" w:hAnsi="仿宋" w:eastAsia="仿宋" w:cs="仿宋"/>
          <w:sz w:val="24"/>
          <w:szCs w:val="24"/>
          <w:lang w:val="en-US" w:eastAsia="zh-CN"/>
        </w:rPr>
        <w:t>开发时序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68D5D2E">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_Toc29461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5.3.</w:t>
      </w:r>
      <w:r>
        <w:rPr>
          <w:rFonts w:hint="eastAsia" w:ascii="仿宋" w:hAnsi="仿宋" w:eastAsia="仿宋" w:cs="仿宋"/>
          <w:sz w:val="24"/>
          <w:szCs w:val="24"/>
          <w:lang w:val="en-US" w:eastAsia="zh-CN"/>
        </w:rPr>
        <w:t>年度实施计划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_Toc29461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5199BF7">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_Toc23746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6.</w:t>
      </w:r>
      <w:r>
        <w:rPr>
          <w:rFonts w:hint="eastAsia" w:ascii="仿宋" w:hAnsi="仿宋" w:eastAsia="仿宋" w:cs="仿宋"/>
          <w:sz w:val="24"/>
          <w:szCs w:val="24"/>
        </w:rPr>
        <w:t>合规性分析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_Toc23746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193991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_Toc30883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6.1.</w:t>
      </w:r>
      <w:r>
        <w:rPr>
          <w:rFonts w:hint="eastAsia" w:ascii="仿宋" w:hAnsi="仿宋" w:eastAsia="仿宋" w:cs="仿宋"/>
          <w:sz w:val="24"/>
          <w:szCs w:val="24"/>
          <w:lang w:val="en-US" w:eastAsia="zh-CN"/>
        </w:rPr>
        <w:t>与</w:t>
      </w:r>
      <w:r>
        <w:rPr>
          <w:rFonts w:hint="eastAsia" w:ascii="仿宋" w:hAnsi="仿宋" w:eastAsia="仿宋" w:cs="仿宋"/>
          <w:sz w:val="24"/>
          <w:szCs w:val="24"/>
        </w:rPr>
        <w:t>国土空间规划</w:t>
      </w:r>
      <w:r>
        <w:rPr>
          <w:rFonts w:hint="eastAsia" w:ascii="仿宋" w:hAnsi="仿宋" w:eastAsia="仿宋" w:cs="仿宋"/>
          <w:sz w:val="24"/>
          <w:szCs w:val="24"/>
          <w:lang w:val="en-US" w:eastAsia="zh-CN"/>
        </w:rPr>
        <w:t>符合性分析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_Toc30883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56A1FDC">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_Toc15606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6.2.</w:t>
      </w:r>
      <w:r>
        <w:rPr>
          <w:rFonts w:hint="eastAsia" w:ascii="仿宋" w:hAnsi="仿宋" w:eastAsia="仿宋" w:cs="仿宋"/>
          <w:sz w:val="24"/>
          <w:szCs w:val="24"/>
          <w:lang w:val="en-US" w:eastAsia="zh-CN"/>
        </w:rPr>
        <w:t>与</w:t>
      </w:r>
      <w:r>
        <w:rPr>
          <w:rFonts w:hint="eastAsia" w:ascii="仿宋" w:hAnsi="仿宋" w:eastAsia="仿宋" w:cs="仿宋"/>
          <w:sz w:val="24"/>
          <w:szCs w:val="24"/>
        </w:rPr>
        <w:t>国民经济和社会发展规划</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年度计划符合性分析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_Toc15606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F19BB4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6.3.</w:t>
      </w:r>
      <w:r>
        <w:rPr>
          <w:rFonts w:hint="eastAsia" w:ascii="仿宋" w:hAnsi="仿宋" w:eastAsia="仿宋" w:cs="仿宋"/>
          <w:sz w:val="24"/>
          <w:szCs w:val="24"/>
          <w:lang w:val="en-US" w:eastAsia="zh-CN"/>
        </w:rPr>
        <w:t>与</w:t>
      </w:r>
      <w:r>
        <w:rPr>
          <w:rFonts w:hint="eastAsia" w:ascii="仿宋" w:hAnsi="仿宋" w:eastAsia="仿宋" w:cs="仿宋"/>
          <w:sz w:val="24"/>
          <w:szCs w:val="24"/>
        </w:rPr>
        <w:t>生态环境</w:t>
      </w:r>
      <w:r>
        <w:rPr>
          <w:rFonts w:hint="eastAsia" w:ascii="仿宋" w:hAnsi="仿宋" w:eastAsia="仿宋" w:cs="仿宋"/>
          <w:sz w:val="24"/>
          <w:szCs w:val="24"/>
          <w:lang w:eastAsia="zh-CN"/>
        </w:rPr>
        <w:t>“</w:t>
      </w:r>
      <w:r>
        <w:rPr>
          <w:rFonts w:hint="eastAsia" w:ascii="仿宋" w:hAnsi="仿宋" w:eastAsia="仿宋" w:cs="仿宋"/>
          <w:sz w:val="24"/>
          <w:szCs w:val="24"/>
        </w:rPr>
        <w:t>三线一单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符合性分析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E4A64F4">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_Toc16072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6.4.</w:t>
      </w:r>
      <w:r>
        <w:rPr>
          <w:rFonts w:hint="eastAsia" w:ascii="仿宋" w:hAnsi="仿宋" w:eastAsia="仿宋" w:cs="仿宋"/>
          <w:sz w:val="24"/>
          <w:szCs w:val="24"/>
        </w:rPr>
        <w:t>公益性用地比例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_Toc16072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515139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_Toc519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6.5.</w:t>
      </w:r>
      <w:r>
        <w:rPr>
          <w:rFonts w:hint="eastAsia" w:ascii="仿宋" w:hAnsi="仿宋" w:eastAsia="仿宋" w:cs="仿宋"/>
          <w:sz w:val="24"/>
          <w:szCs w:val="24"/>
          <w:lang w:val="en-US" w:eastAsia="zh-CN"/>
        </w:rPr>
        <w:t>永久基本农田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_Toc519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076AEE1F">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_Toc13219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6.6.</w:t>
      </w:r>
      <w:r>
        <w:rPr>
          <w:rFonts w:hint="eastAsia" w:ascii="仿宋" w:hAnsi="仿宋" w:eastAsia="仿宋" w:cs="仿宋"/>
          <w:sz w:val="24"/>
          <w:szCs w:val="24"/>
          <w:lang w:val="en-US" w:eastAsia="zh-CN"/>
        </w:rPr>
        <w:t>批而未供和闲置土地情况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_Toc13219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D0B2FAB">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_Toc32695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highlight w:val="none"/>
          <w:lang w:val="en-US" w:eastAsia="zh-CN"/>
        </w:rPr>
        <w:t>6.7.</w:t>
      </w:r>
      <w:r>
        <w:rPr>
          <w:rFonts w:hint="eastAsia" w:ascii="仿宋" w:hAnsi="仿宋" w:eastAsia="仿宋" w:cs="仿宋"/>
          <w:sz w:val="24"/>
          <w:szCs w:val="24"/>
          <w:highlight w:val="none"/>
          <w:lang w:val="en-US" w:eastAsia="zh-CN"/>
        </w:rPr>
        <w:t>开发区</w:t>
      </w:r>
      <w:r>
        <w:rPr>
          <w:rFonts w:hint="eastAsia" w:ascii="仿宋" w:hAnsi="仿宋" w:eastAsia="仿宋" w:cs="仿宋"/>
          <w:sz w:val="24"/>
          <w:szCs w:val="24"/>
          <w:highlight w:val="none"/>
        </w:rPr>
        <w:t>土地利用效率情况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_Toc32695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5252265">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_Toc16372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6.8.</w:t>
      </w:r>
      <w:r>
        <w:rPr>
          <w:rFonts w:hint="eastAsia" w:ascii="仿宋" w:hAnsi="仿宋" w:eastAsia="仿宋" w:cs="仿宋"/>
          <w:sz w:val="24"/>
          <w:szCs w:val="24"/>
          <w:lang w:val="en-US" w:eastAsia="zh-CN"/>
        </w:rPr>
        <w:t>已批准土地征收成片开发方案实施情况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_Toc16372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F8CA30D">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_Toc31813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7.</w:t>
      </w:r>
      <w:r>
        <w:rPr>
          <w:rFonts w:hint="eastAsia" w:ascii="仿宋" w:hAnsi="仿宋" w:eastAsia="仿宋" w:cs="仿宋"/>
          <w:sz w:val="24"/>
          <w:szCs w:val="24"/>
          <w:lang w:val="en-US" w:eastAsia="zh-CN"/>
        </w:rPr>
        <w:t>效益评估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_Toc31813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1AB52DD2">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_Toc20711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7.1.</w:t>
      </w:r>
      <w:r>
        <w:rPr>
          <w:rFonts w:hint="eastAsia" w:ascii="仿宋" w:hAnsi="仿宋" w:eastAsia="仿宋" w:cs="仿宋"/>
          <w:sz w:val="24"/>
          <w:szCs w:val="24"/>
          <w:lang w:val="en-US" w:eastAsia="zh-CN"/>
        </w:rPr>
        <w:t>土地利用效益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_Toc20711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406ECA5">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_Toc29741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7.2.</w:t>
      </w:r>
      <w:r>
        <w:rPr>
          <w:rFonts w:hint="eastAsia" w:ascii="仿宋" w:hAnsi="仿宋" w:eastAsia="仿宋" w:cs="仿宋"/>
          <w:sz w:val="24"/>
          <w:szCs w:val="24"/>
          <w:lang w:val="en-US" w:eastAsia="zh-CN"/>
        </w:rPr>
        <w:t>经济效益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_Toc29741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289F871A">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_Toc11527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7.3.</w:t>
      </w:r>
      <w:r>
        <w:rPr>
          <w:rFonts w:hint="eastAsia" w:ascii="仿宋" w:hAnsi="仿宋" w:eastAsia="仿宋" w:cs="仿宋"/>
          <w:sz w:val="24"/>
          <w:szCs w:val="24"/>
          <w:lang w:val="en-US" w:eastAsia="zh-CN"/>
        </w:rPr>
        <w:t>社会效益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_Toc11527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D676A4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_Toc18403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7.4.</w:t>
      </w:r>
      <w:r>
        <w:rPr>
          <w:rFonts w:hint="eastAsia" w:ascii="仿宋" w:hAnsi="仿宋" w:eastAsia="仿宋" w:cs="仿宋"/>
          <w:sz w:val="24"/>
          <w:szCs w:val="24"/>
          <w:lang w:val="en-US" w:eastAsia="zh-CN"/>
        </w:rPr>
        <w:t>生态效益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_Toc18403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4CB712ED">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_Toc24257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8.</w:t>
      </w:r>
      <w:r>
        <w:rPr>
          <w:rFonts w:hint="eastAsia" w:ascii="仿宋" w:hAnsi="仿宋" w:eastAsia="仿宋" w:cs="仿宋"/>
          <w:sz w:val="24"/>
          <w:szCs w:val="24"/>
          <w:lang w:val="en-US" w:eastAsia="zh-CN"/>
        </w:rPr>
        <w:t>保障措施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_Toc24257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5577D71">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_Toc31939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8.1.</w:t>
      </w:r>
      <w:r>
        <w:rPr>
          <w:rFonts w:hint="eastAsia" w:ascii="仿宋" w:hAnsi="仿宋" w:eastAsia="仿宋" w:cs="仿宋"/>
          <w:sz w:val="24"/>
          <w:szCs w:val="24"/>
          <w:lang w:val="en-US" w:eastAsia="zh-CN"/>
        </w:rPr>
        <w:t>加强政策宣传，营造良好社会舆论氛围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_Toc31939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C70B7B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_Toc28699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8.2.</w:t>
      </w:r>
      <w:r>
        <w:rPr>
          <w:rFonts w:hint="eastAsia" w:ascii="仿宋" w:hAnsi="仿宋" w:eastAsia="仿宋" w:cs="仿宋"/>
          <w:sz w:val="24"/>
          <w:szCs w:val="24"/>
          <w:lang w:val="en-US" w:eastAsia="zh-CN"/>
        </w:rPr>
        <w:t>严格履行程序，确保征收程序依法合规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_Toc28699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D90505B">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_Toc3690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8.3.</w:t>
      </w:r>
      <w:r>
        <w:rPr>
          <w:rFonts w:hint="eastAsia" w:ascii="仿宋" w:hAnsi="仿宋" w:eastAsia="仿宋" w:cs="仿宋"/>
          <w:sz w:val="24"/>
          <w:szCs w:val="24"/>
          <w:lang w:val="en-US" w:eastAsia="zh-CN"/>
        </w:rPr>
        <w:t>落实土地补偿方案，切实维护失地农民权益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_Toc3690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62E41016">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_Toc26919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8.4.</w:t>
      </w:r>
      <w:r>
        <w:rPr>
          <w:rFonts w:hint="eastAsia" w:ascii="仿宋" w:hAnsi="仿宋" w:eastAsia="仿宋" w:cs="仿宋"/>
          <w:sz w:val="24"/>
          <w:szCs w:val="24"/>
          <w:lang w:val="en-US" w:eastAsia="zh-CN"/>
        </w:rPr>
        <w:t>加强风险预警，做好土地征收维稳工作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_Toc26919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9ECDED9">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_Toc7143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8.5.</w:t>
      </w:r>
      <w:r>
        <w:rPr>
          <w:rFonts w:hint="eastAsia" w:ascii="仿宋" w:hAnsi="仿宋" w:eastAsia="仿宋" w:cs="仿宋"/>
          <w:sz w:val="24"/>
          <w:szCs w:val="24"/>
          <w:lang w:val="en-US" w:eastAsia="zh-CN"/>
        </w:rPr>
        <w:t>严格保护耕地，落实耕地占补平衡责任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_Toc7143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5703080">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_Toc20207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8.6.</w:t>
      </w:r>
      <w:r>
        <w:rPr>
          <w:rFonts w:hint="eastAsia" w:ascii="仿宋" w:hAnsi="仿宋" w:eastAsia="仿宋" w:cs="仿宋"/>
          <w:sz w:val="24"/>
          <w:szCs w:val="24"/>
          <w:lang w:val="en-US" w:eastAsia="zh-CN"/>
        </w:rPr>
        <w:t>严格保护和合理利用林地，促进林业发展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_Toc20207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182F3BAE">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_Toc22377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8.7.</w:t>
      </w:r>
      <w:r>
        <w:rPr>
          <w:rFonts w:hint="eastAsia" w:ascii="仿宋" w:hAnsi="仿宋" w:eastAsia="仿宋" w:cs="仿宋"/>
          <w:sz w:val="24"/>
          <w:szCs w:val="24"/>
          <w:lang w:val="en-US" w:eastAsia="zh-CN"/>
        </w:rPr>
        <w:t>创新供地方式，提高成片开发用地效益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_Toc22377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57ED80CE">
      <w:pPr>
        <w:pStyle w:val="15"/>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_Toc3831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2"/>
          <w:sz w:val="24"/>
          <w:szCs w:val="24"/>
          <w:lang w:val="en-US" w:eastAsia="zh-CN"/>
        </w:rPr>
        <w:t>8.8.</w:t>
      </w:r>
      <w:r>
        <w:rPr>
          <w:rFonts w:hint="eastAsia" w:ascii="仿宋" w:hAnsi="仿宋" w:eastAsia="仿宋" w:cs="仿宋"/>
          <w:sz w:val="24"/>
          <w:szCs w:val="24"/>
          <w:lang w:val="en-US" w:eastAsia="zh-CN"/>
        </w:rPr>
        <w:t>加强供应监管，提高节约集约用地水平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_Toc3831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3FCEA3E9">
      <w:pPr>
        <w:pStyle w:val="14"/>
        <w:tabs>
          <w:tab w:val="right" w:leader="dot" w:pos="8306"/>
        </w:tabs>
        <w:rPr>
          <w:rFonts w:hint="eastAsia" w:ascii="仿宋" w:hAnsi="仿宋" w:eastAsia="仿宋" w:cs="仿宋"/>
          <w:sz w:val="24"/>
          <w:szCs w:val="24"/>
        </w:rPr>
      </w:pPr>
      <w:r>
        <w:rPr>
          <w:rFonts w:hint="eastAsia" w:ascii="仿宋" w:hAnsi="仿宋" w:eastAsia="仿宋" w:cs="仿宋"/>
          <w:bCs/>
          <w:kern w:val="2"/>
          <w:sz w:val="24"/>
          <w:szCs w:val="24"/>
          <w:highlight w:val="none"/>
          <w:lang w:val="zh-CN" w:eastAsia="zh-CN" w:bidi="ar-SA"/>
        </w:rPr>
        <w:fldChar w:fldCharType="begin"/>
      </w:r>
      <w:r>
        <w:rPr>
          <w:rFonts w:hint="eastAsia" w:ascii="仿宋" w:hAnsi="仿宋" w:eastAsia="仿宋" w:cs="仿宋"/>
          <w:bCs/>
          <w:kern w:val="2"/>
          <w:sz w:val="24"/>
          <w:szCs w:val="24"/>
          <w:highlight w:val="none"/>
          <w:lang w:val="zh-CN" w:eastAsia="zh-CN" w:bidi="ar-SA"/>
        </w:rPr>
        <w:instrText xml:space="preserve"> HYPERLINK \l _Toc5196 </w:instrText>
      </w:r>
      <w:r>
        <w:rPr>
          <w:rFonts w:hint="eastAsia" w:ascii="仿宋" w:hAnsi="仿宋" w:eastAsia="仿宋" w:cs="仿宋"/>
          <w:bCs/>
          <w:kern w:val="2"/>
          <w:sz w:val="24"/>
          <w:szCs w:val="24"/>
          <w:highlight w:val="none"/>
          <w:lang w:val="zh-CN" w:eastAsia="zh-CN" w:bidi="ar-SA"/>
        </w:rPr>
        <w:fldChar w:fldCharType="separate"/>
      </w:r>
      <w:r>
        <w:rPr>
          <w:rFonts w:hint="eastAsia" w:ascii="仿宋" w:hAnsi="仿宋" w:eastAsia="仿宋" w:cs="仿宋"/>
          <w:bCs/>
          <w:kern w:val="44"/>
          <w:sz w:val="24"/>
          <w:szCs w:val="24"/>
          <w:lang w:val="en-US" w:eastAsia="zh-CN"/>
        </w:rPr>
        <w:t>9.结论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_Toc5196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bCs/>
          <w:kern w:val="2"/>
          <w:sz w:val="24"/>
          <w:szCs w:val="24"/>
          <w:highlight w:val="none"/>
          <w:lang w:val="zh-CN" w:eastAsia="zh-CN" w:bidi="ar-SA"/>
        </w:rPr>
        <w:fldChar w:fldCharType="end"/>
      </w:r>
    </w:p>
    <w:p w14:paraId="733CBE65">
      <w:pPr>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Cs/>
          <w:kern w:val="2"/>
          <w:sz w:val="24"/>
          <w:szCs w:val="24"/>
          <w:highlight w:val="none"/>
          <w:lang w:val="zh-CN" w:eastAsia="zh-CN" w:bidi="ar-SA"/>
        </w:rPr>
        <w:fldChar w:fldCharType="end"/>
      </w:r>
    </w:p>
    <w:p w14:paraId="5EC807F5">
      <w:pPr>
        <w:bidi w:val="0"/>
        <w:rPr>
          <w:rFonts w:hint="eastAsia" w:ascii="仿宋" w:hAnsi="仿宋" w:eastAsia="仿宋" w:cs="仿宋"/>
          <w:sz w:val="24"/>
          <w:szCs w:val="24"/>
          <w:lang w:val="en-US" w:eastAsia="zh-CN"/>
        </w:rPr>
        <w:sectPr>
          <w:pgSz w:w="11906" w:h="16838"/>
          <w:pgMar w:top="1440" w:right="1800" w:bottom="1440" w:left="1800" w:header="851" w:footer="992" w:gutter="0"/>
          <w:pgNumType w:fmt="decimal" w:start="1"/>
          <w:cols w:space="425" w:num="1"/>
          <w:docGrid w:type="lines" w:linePitch="312" w:charSpace="0"/>
        </w:sectPr>
      </w:pPr>
    </w:p>
    <w:p w14:paraId="44AE8A01">
      <w:pPr>
        <w:pStyle w:val="2"/>
        <w:numPr>
          <w:ilvl w:val="0"/>
          <w:numId w:val="0"/>
        </w:numPr>
        <w:bidi w:val="0"/>
        <w:ind w:left="432" w:leftChars="0" w:hanging="432" w:firstLineChars="0"/>
        <w:jc w:val="both"/>
        <w:rPr>
          <w:rFonts w:hint="default"/>
          <w:sz w:val="40"/>
          <w:szCs w:val="40"/>
          <w:lang w:val="en-US" w:eastAsia="zh-CN"/>
        </w:rPr>
      </w:pPr>
      <w:bookmarkStart w:id="2" w:name="_Toc9753"/>
      <w:r>
        <w:rPr>
          <w:rFonts w:hint="default" w:ascii="Times New Roman" w:hAnsi="Times New Roman" w:eastAsia="仿宋" w:cs="Times New Roman"/>
          <w:b/>
          <w:bCs/>
          <w:kern w:val="44"/>
          <w:sz w:val="40"/>
          <w:szCs w:val="40"/>
          <w:lang w:val="en-US" w:eastAsia="zh-CN"/>
        </w:rPr>
        <w:t>1.</w:t>
      </w:r>
      <w:r>
        <w:rPr>
          <w:rFonts w:hint="default"/>
          <w:sz w:val="40"/>
          <w:szCs w:val="40"/>
          <w:lang w:val="en-US" w:eastAsia="zh-CN"/>
        </w:rPr>
        <w:t>概述</w:t>
      </w:r>
      <w:bookmarkEnd w:id="2"/>
    </w:p>
    <w:p w14:paraId="7B3E3872">
      <w:pPr>
        <w:pStyle w:val="3"/>
        <w:numPr>
          <w:ilvl w:val="1"/>
          <w:numId w:val="0"/>
        </w:numPr>
        <w:tabs>
          <w:tab w:val="clear" w:pos="420"/>
        </w:tabs>
        <w:bidi w:val="0"/>
        <w:ind w:left="575" w:leftChars="0" w:hanging="575" w:firstLineChars="0"/>
        <w:rPr>
          <w:rFonts w:hint="default"/>
          <w:sz w:val="32"/>
          <w:szCs w:val="32"/>
          <w:lang w:val="en-US" w:eastAsia="zh-CN"/>
        </w:rPr>
      </w:pPr>
      <w:bookmarkStart w:id="3" w:name="_Toc12800"/>
      <w:r>
        <w:rPr>
          <w:rFonts w:hint="eastAsia" w:ascii="Times New Roman" w:hAnsi="Times New Roman" w:eastAsia="仿宋" w:cs="Times New Roman"/>
          <w:b/>
          <w:bCs/>
          <w:kern w:val="2"/>
          <w:sz w:val="32"/>
          <w:szCs w:val="32"/>
          <w:lang w:val="en-US" w:eastAsia="zh-CN"/>
        </w:rPr>
        <w:t>1.1.</w:t>
      </w:r>
      <w:r>
        <w:rPr>
          <w:rFonts w:hint="eastAsia"/>
          <w:sz w:val="32"/>
          <w:szCs w:val="32"/>
          <w:lang w:val="en-US" w:eastAsia="zh-CN"/>
        </w:rPr>
        <w:t>方案的</w:t>
      </w:r>
      <w:r>
        <w:rPr>
          <w:rFonts w:hint="default"/>
          <w:sz w:val="32"/>
          <w:szCs w:val="32"/>
          <w:lang w:val="en-US" w:eastAsia="zh-CN"/>
        </w:rPr>
        <w:t>背景</w:t>
      </w:r>
      <w:bookmarkEnd w:id="3"/>
    </w:p>
    <w:p w14:paraId="0993CE19">
      <w:pPr>
        <w:spacing w:line="240" w:lineRule="auto"/>
        <w:ind w:firstLine="640"/>
        <w:rPr>
          <w:rFonts w:hint="default" w:ascii="Times New Roman" w:hAnsi="Times New Roman" w:eastAsia="仿宋" w:cs="Times New Roman"/>
          <w:sz w:val="28"/>
          <w:szCs w:val="32"/>
          <w:highlight w:val="none"/>
          <w:lang w:eastAsia="zh-CN" w:bidi="ar-SA"/>
        </w:rPr>
      </w:pPr>
      <w:r>
        <w:rPr>
          <w:rFonts w:hint="eastAsia" w:ascii="Times New Roman" w:hAnsi="Times New Roman" w:eastAsia="仿宋" w:cs="Times New Roman"/>
          <w:sz w:val="28"/>
          <w:szCs w:val="32"/>
          <w:lang w:val="en-US" w:eastAsia="zh-CN" w:bidi="ar-SA"/>
        </w:rPr>
        <w:t>根据</w:t>
      </w:r>
      <w:r>
        <w:rPr>
          <w:rFonts w:hint="default" w:ascii="Times New Roman" w:hAnsi="Times New Roman" w:eastAsia="仿宋" w:cs="Times New Roman"/>
          <w:sz w:val="28"/>
          <w:szCs w:val="32"/>
          <w:lang w:eastAsia="zh-CN" w:bidi="ar-SA"/>
        </w:rPr>
        <w:t>《土地管理法》第四十五条、《土地征收成片开发标准》（自然资规〔202</w:t>
      </w:r>
      <w:r>
        <w:rPr>
          <w:rFonts w:hint="eastAsia" w:ascii="Times New Roman" w:hAnsi="Times New Roman" w:eastAsia="仿宋" w:cs="Times New Roman"/>
          <w:sz w:val="28"/>
          <w:szCs w:val="32"/>
          <w:lang w:val="en-US" w:eastAsia="zh-CN" w:bidi="ar-SA"/>
        </w:rPr>
        <w:t>3</w:t>
      </w:r>
      <w:r>
        <w:rPr>
          <w:rFonts w:hint="default" w:ascii="Times New Roman" w:hAnsi="Times New Roman" w:eastAsia="仿宋" w:cs="Times New Roman"/>
          <w:sz w:val="28"/>
          <w:szCs w:val="32"/>
          <w:lang w:eastAsia="zh-CN" w:bidi="ar-SA"/>
        </w:rPr>
        <w:t>〕</w:t>
      </w:r>
      <w:r>
        <w:rPr>
          <w:rFonts w:hint="eastAsia" w:ascii="Times New Roman" w:hAnsi="Times New Roman" w:eastAsia="仿宋" w:cs="Times New Roman"/>
          <w:sz w:val="28"/>
          <w:szCs w:val="32"/>
          <w:lang w:val="en-US" w:eastAsia="zh-CN" w:bidi="ar-SA"/>
        </w:rPr>
        <w:t>7</w:t>
      </w:r>
      <w:r>
        <w:rPr>
          <w:rFonts w:hint="default" w:ascii="Times New Roman" w:hAnsi="Times New Roman" w:eastAsia="仿宋" w:cs="Times New Roman"/>
          <w:sz w:val="28"/>
          <w:szCs w:val="32"/>
          <w:lang w:eastAsia="zh-CN" w:bidi="ar-SA"/>
        </w:rPr>
        <w:t>号）、</w:t>
      </w:r>
      <w:r>
        <w:rPr>
          <w:rFonts w:hint="default" w:ascii="Times New Roman" w:hAnsi="Times New Roman" w:eastAsia="仿宋" w:cs="Times New Roman"/>
          <w:sz w:val="28"/>
          <w:szCs w:val="28"/>
          <w:highlight w:val="none"/>
          <w:lang w:val="en-US" w:eastAsia="zh-CN" w:bidi="ar-SA"/>
        </w:rPr>
        <w:t>《山西省土地征收成片开发</w:t>
      </w:r>
      <w:r>
        <w:rPr>
          <w:rFonts w:hint="eastAsia" w:ascii="Times New Roman" w:hAnsi="Times New Roman" w:eastAsia="仿宋" w:cs="Times New Roman"/>
          <w:sz w:val="28"/>
          <w:szCs w:val="28"/>
          <w:highlight w:val="none"/>
          <w:lang w:val="en-US" w:eastAsia="zh-CN" w:bidi="ar-SA"/>
        </w:rPr>
        <w:t>方案编制</w:t>
      </w:r>
      <w:r>
        <w:rPr>
          <w:rFonts w:hint="default" w:ascii="Times New Roman" w:hAnsi="Times New Roman" w:eastAsia="仿宋" w:cs="Times New Roman"/>
          <w:sz w:val="28"/>
          <w:szCs w:val="28"/>
          <w:highlight w:val="none"/>
          <w:lang w:val="en-US" w:eastAsia="zh-CN" w:bidi="ar-SA"/>
        </w:rPr>
        <w:t>技术指南（试行）》（晋自然资发〔2021〕30号）</w:t>
      </w:r>
      <w:r>
        <w:rPr>
          <w:rFonts w:hint="default" w:ascii="Times New Roman" w:hAnsi="Times New Roman" w:eastAsia="仿宋" w:cs="Times New Roman"/>
          <w:sz w:val="28"/>
          <w:szCs w:val="32"/>
          <w:lang w:eastAsia="zh-CN" w:bidi="ar-SA"/>
        </w:rPr>
        <w:t>及</w:t>
      </w:r>
      <w:r>
        <w:rPr>
          <w:rFonts w:hint="default" w:ascii="Times New Roman" w:hAnsi="Times New Roman" w:eastAsia="仿宋" w:cs="Times New Roman"/>
          <w:sz w:val="28"/>
          <w:szCs w:val="28"/>
          <w:highlight w:val="none"/>
          <w:lang w:val="en-US" w:eastAsia="zh-CN" w:bidi="ar-SA"/>
        </w:rPr>
        <w:t>《山西省土地征收成片开发标准实施细则》</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晋自然资发〔20</w:t>
      </w:r>
      <w:r>
        <w:rPr>
          <w:rFonts w:hint="eastAsia" w:ascii="Times New Roman" w:hAnsi="Times New Roman" w:eastAsia="仿宋" w:cs="Times New Roman"/>
          <w:sz w:val="28"/>
          <w:szCs w:val="28"/>
          <w:highlight w:val="none"/>
          <w:lang w:val="en-US" w:eastAsia="zh-CN" w:bidi="ar-SA"/>
        </w:rPr>
        <w:t>24</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18</w:t>
      </w:r>
      <w:r>
        <w:rPr>
          <w:rFonts w:hint="default" w:ascii="Times New Roman" w:hAnsi="Times New Roman" w:eastAsia="仿宋" w:cs="Times New Roman"/>
          <w:sz w:val="28"/>
          <w:szCs w:val="28"/>
          <w:highlight w:val="none"/>
          <w:lang w:val="en-US" w:eastAsia="zh-CN" w:bidi="ar-SA"/>
        </w:rPr>
        <w:t>号</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32"/>
          <w:lang w:eastAsia="zh-CN" w:bidi="ar-SA"/>
        </w:rPr>
        <w:t>，县级以上地方人民政府应当依据当地国民经济和社会发展规划、国土空间规划</w:t>
      </w:r>
      <w:r>
        <w:rPr>
          <w:rFonts w:hint="default" w:ascii="Times New Roman" w:hAnsi="Times New Roman" w:eastAsia="仿宋" w:cs="Times New Roman"/>
          <w:sz w:val="28"/>
          <w:szCs w:val="32"/>
          <w:highlight w:val="none"/>
          <w:lang w:eastAsia="zh-CN" w:bidi="ar-SA"/>
        </w:rPr>
        <w:t>，组织编制土地征收成片开发方案。</w:t>
      </w:r>
    </w:p>
    <w:p w14:paraId="1E173D48">
      <w:pPr>
        <w:spacing w:line="240" w:lineRule="auto"/>
        <w:ind w:firstLine="640"/>
        <w:rPr>
          <w:rFonts w:hint="default" w:ascii="Times New Roman" w:hAnsi="Times New Roman" w:eastAsia="仿宋" w:cs="Times New Roman"/>
          <w:color w:val="FF0000"/>
          <w:sz w:val="28"/>
          <w:szCs w:val="32"/>
          <w:highlight w:val="none"/>
          <w:lang w:val="en-US" w:eastAsia="zh-CN" w:bidi="ar-SA"/>
        </w:rPr>
      </w:pP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年</w:t>
      </w:r>
      <w:r>
        <w:rPr>
          <w:rFonts w:hint="eastAsia" w:ascii="Times New Roman" w:hAnsi="Times New Roman"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lang w:val="en-US" w:eastAsia="zh-CN"/>
        </w:rPr>
        <w:t>月</w:t>
      </w:r>
      <w:r>
        <w:rPr>
          <w:rFonts w:hint="eastAsia" w:ascii="Times New Roman" w:hAnsi="Times New Roman" w:eastAsia="仿宋" w:cs="Times New Roman"/>
          <w:color w:val="auto"/>
          <w:sz w:val="28"/>
          <w:szCs w:val="28"/>
          <w:highlight w:val="none"/>
          <w:lang w:val="en-US" w:eastAsia="zh-CN"/>
        </w:rPr>
        <w:t>18</w:t>
      </w:r>
      <w:r>
        <w:rPr>
          <w:rFonts w:hint="default" w:ascii="Times New Roman" w:hAnsi="Times New Roman" w:eastAsia="仿宋" w:cs="Times New Roman"/>
          <w:color w:val="auto"/>
          <w:sz w:val="28"/>
          <w:szCs w:val="28"/>
          <w:highlight w:val="none"/>
          <w:lang w:val="en-US" w:eastAsia="zh-CN"/>
        </w:rPr>
        <w:t>日，晋城市人民政府以（晋市政函〔202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号）对《</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》进行了批复。《</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》共划定</w:t>
      </w:r>
      <w:r>
        <w:rPr>
          <w:rFonts w:hint="eastAsia" w:ascii="Times New Roman" w:hAnsi="Times New Roman" w:eastAsia="仿宋" w:cs="Times New Roman"/>
          <w:color w:val="auto"/>
          <w:sz w:val="28"/>
          <w:szCs w:val="28"/>
          <w:highlight w:val="none"/>
          <w:lang w:val="en-US" w:eastAsia="zh-CN"/>
        </w:rPr>
        <w:t>成片开发片区面积共计300.3612公顷，涉及32个项目共32个地块，用地总面积127.2707公顷，其中农用地面积62.2365公顷(耕地40.5016公顷、园地0.5395公顷、林地15.3857公顷、草地1.1883公顷、其他农用地4.6214公顷)，建设用地面积65.0342公顷，涉及10个乡镇（街道）25个村（社区），土地权属明晰无争议。成片开发区域符合高平市国民经济和社会发展规划、国土空间规划，符合“三线一单”生态红线管控要求，不涉及生态保护红线和永久基本农田。上期方案在保护耕地，维护被征地农民的合法权益，节约集约用地，生态环境保护等方面起到了积极作用，促进了</w:t>
      </w:r>
      <w:r>
        <w:rPr>
          <w:rFonts w:hint="eastAsia" w:ascii="Times New Roman" w:hAnsi="Times New Roman" w:eastAsia="仿宋" w:cs="Times New Roman"/>
          <w:sz w:val="28"/>
          <w:szCs w:val="32"/>
          <w:highlight w:val="none"/>
          <w:lang w:val="en-US" w:eastAsia="zh-CN" w:bidi="ar-SA"/>
        </w:rPr>
        <w:t>高平市</w:t>
      </w:r>
      <w:r>
        <w:rPr>
          <w:rFonts w:hint="eastAsia" w:ascii="Times New Roman" w:hAnsi="Times New Roman" w:eastAsia="仿宋" w:cs="Times New Roman"/>
          <w:color w:val="auto"/>
          <w:sz w:val="28"/>
          <w:szCs w:val="28"/>
          <w:highlight w:val="none"/>
          <w:lang w:val="en-US" w:eastAsia="zh-CN"/>
        </w:rPr>
        <w:t>经济社会可持续发展。</w:t>
      </w:r>
    </w:p>
    <w:p w14:paraId="32D50218">
      <w:pPr>
        <w:spacing w:line="240" w:lineRule="auto"/>
        <w:ind w:firstLine="640"/>
        <w:rPr>
          <w:rFonts w:hint="default" w:ascii="Times New Roman" w:hAnsi="Times New Roman" w:eastAsia="仿宋" w:cs="Times New Roman"/>
          <w:sz w:val="28"/>
          <w:szCs w:val="32"/>
          <w:highlight w:val="none"/>
          <w:lang w:eastAsia="zh-CN" w:bidi="ar-SA"/>
        </w:rPr>
      </w:pPr>
      <w:r>
        <w:rPr>
          <w:rFonts w:hint="default" w:ascii="Times New Roman" w:hAnsi="Times New Roman" w:eastAsia="仿宋" w:cs="Times New Roman"/>
          <w:sz w:val="28"/>
          <w:szCs w:val="32"/>
          <w:highlight w:val="none"/>
          <w:lang w:eastAsia="zh-CN" w:bidi="ar-SA"/>
        </w:rPr>
        <w:t>为做好</w:t>
      </w:r>
      <w:r>
        <w:rPr>
          <w:rFonts w:hint="eastAsia" w:ascii="Times New Roman" w:hAnsi="Times New Roman" w:eastAsia="仿宋" w:cs="Times New Roman"/>
          <w:sz w:val="28"/>
          <w:szCs w:val="32"/>
          <w:highlight w:val="none"/>
          <w:lang w:val="en-US" w:eastAsia="zh-CN" w:bidi="ar-SA"/>
        </w:rPr>
        <w:t>高平市</w:t>
      </w:r>
      <w:r>
        <w:rPr>
          <w:rFonts w:hint="default" w:ascii="Times New Roman" w:hAnsi="Times New Roman" w:eastAsia="仿宋" w:cs="Times New Roman"/>
          <w:sz w:val="28"/>
          <w:szCs w:val="32"/>
          <w:highlight w:val="none"/>
          <w:lang w:eastAsia="zh-CN" w:bidi="ar-SA"/>
        </w:rPr>
        <w:t>土地征收成片开发项目用地保障，根据</w:t>
      </w:r>
      <w:r>
        <w:rPr>
          <w:rFonts w:hint="eastAsia" w:ascii="Times New Roman" w:hAnsi="Times New Roman" w:eastAsia="仿宋" w:cs="Times New Roman"/>
          <w:sz w:val="28"/>
          <w:szCs w:val="32"/>
          <w:highlight w:val="none"/>
          <w:lang w:val="en-US" w:eastAsia="zh-CN" w:bidi="ar-SA"/>
        </w:rPr>
        <w:t>高平市</w:t>
      </w:r>
      <w:r>
        <w:rPr>
          <w:rFonts w:hint="default" w:ascii="Times New Roman" w:hAnsi="Times New Roman" w:eastAsia="仿宋" w:cs="Times New Roman"/>
          <w:sz w:val="28"/>
          <w:szCs w:val="32"/>
          <w:highlight w:val="none"/>
          <w:lang w:eastAsia="zh-CN" w:bidi="ar-SA"/>
        </w:rPr>
        <w:t>国民经济和社会发展规划、国土空间规划及产业发展规划等，为大力推进新型工业化</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重塑高质量发展</w:t>
      </w:r>
      <w:r>
        <w:rPr>
          <w:rFonts w:hint="eastAsia" w:ascii="Times New Roman" w:hAnsi="Times New Roman" w:eastAsia="仿宋" w:cs="Times New Roman"/>
          <w:sz w:val="28"/>
          <w:szCs w:val="32"/>
          <w:highlight w:val="none"/>
          <w:lang w:val="en-US" w:eastAsia="zh-CN" w:bidi="ar-SA"/>
        </w:rPr>
        <w:t>旅游业</w:t>
      </w:r>
      <w:r>
        <w:rPr>
          <w:rFonts w:hint="default" w:ascii="Times New Roman" w:hAnsi="Times New Roman" w:eastAsia="仿宋" w:cs="Times New Roman"/>
          <w:sz w:val="28"/>
          <w:szCs w:val="32"/>
          <w:highlight w:val="none"/>
          <w:lang w:eastAsia="zh-CN" w:bidi="ar-SA"/>
        </w:rPr>
        <w:t>新优势，大力推进新型城镇化</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提升高质量发展城镇新品质，确保成片开发范围内建设项目的顺利实施，由</w:t>
      </w:r>
      <w:r>
        <w:rPr>
          <w:rFonts w:hint="eastAsia" w:ascii="Times New Roman" w:hAnsi="Times New Roman" w:eastAsia="仿宋" w:cs="Times New Roman"/>
          <w:sz w:val="28"/>
          <w:szCs w:val="32"/>
          <w:highlight w:val="none"/>
          <w:lang w:val="en-US" w:eastAsia="zh-CN" w:bidi="ar-SA"/>
        </w:rPr>
        <w:t>高平市人民政府组织，高平市自然资源局委托太原市泓达土地资源咨询服务有限公司</w:t>
      </w:r>
      <w:r>
        <w:rPr>
          <w:rFonts w:hint="default" w:ascii="Times New Roman" w:hAnsi="Times New Roman" w:eastAsia="仿宋" w:cs="Times New Roman"/>
          <w:sz w:val="28"/>
          <w:szCs w:val="32"/>
          <w:highlight w:val="none"/>
          <w:lang w:eastAsia="zh-CN" w:bidi="ar-SA"/>
        </w:rPr>
        <w:t>编制《</w:t>
      </w:r>
      <w:r>
        <w:rPr>
          <w:rFonts w:hint="eastAsia" w:ascii="Times New Roman" w:hAnsi="Times New Roman" w:eastAsia="仿宋" w:cs="Times New Roman"/>
          <w:sz w:val="28"/>
          <w:szCs w:val="32"/>
          <w:highlight w:val="none"/>
          <w:lang w:val="en-US" w:eastAsia="zh-CN" w:bidi="ar-SA"/>
        </w:rPr>
        <w:t>高平市2025</w:t>
      </w:r>
      <w:r>
        <w:rPr>
          <w:rFonts w:hint="eastAsia" w:ascii="Times New Roman" w:hAnsi="Times New Roman" w:eastAsia="仿宋" w:cs="Times New Roman"/>
          <w:sz w:val="28"/>
          <w:szCs w:val="32"/>
          <w:highlight w:val="none"/>
          <w:lang w:eastAsia="zh-CN" w:bidi="ar-SA"/>
        </w:rPr>
        <w:t>年土地征收成片开发方案</w:t>
      </w:r>
      <w:r>
        <w:rPr>
          <w:rFonts w:hint="default"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以下简称《方案》</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w:t>
      </w:r>
    </w:p>
    <w:p w14:paraId="616CA2BE">
      <w:pPr>
        <w:pStyle w:val="3"/>
        <w:numPr>
          <w:ilvl w:val="1"/>
          <w:numId w:val="0"/>
        </w:numPr>
        <w:tabs>
          <w:tab w:val="clear" w:pos="420"/>
        </w:tabs>
        <w:bidi w:val="0"/>
        <w:ind w:left="575" w:leftChars="0" w:hanging="575" w:firstLineChars="0"/>
        <w:rPr>
          <w:rFonts w:hint="default"/>
          <w:sz w:val="32"/>
          <w:szCs w:val="32"/>
          <w:highlight w:val="none"/>
          <w:lang w:val="en-US" w:eastAsia="zh-CN"/>
        </w:rPr>
      </w:pPr>
      <w:bookmarkStart w:id="4" w:name="_Toc26321"/>
      <w:bookmarkStart w:id="5" w:name="_Toc10243"/>
      <w:bookmarkStart w:id="6" w:name="_Toc19962"/>
      <w:bookmarkStart w:id="7" w:name="_Toc25384"/>
      <w:r>
        <w:rPr>
          <w:rFonts w:hint="eastAsia" w:ascii="Times New Roman" w:hAnsi="Times New Roman" w:eastAsia="仿宋" w:cs="Times New Roman"/>
          <w:b/>
          <w:bCs/>
          <w:kern w:val="2"/>
          <w:sz w:val="32"/>
          <w:szCs w:val="32"/>
          <w:highlight w:val="none"/>
          <w:lang w:val="en-US" w:eastAsia="zh-CN"/>
        </w:rPr>
        <w:t>1.2.</w:t>
      </w:r>
      <w:r>
        <w:rPr>
          <w:rFonts w:hint="default"/>
          <w:sz w:val="32"/>
          <w:szCs w:val="32"/>
          <w:highlight w:val="none"/>
          <w:lang w:val="en-US" w:eastAsia="zh-CN"/>
        </w:rPr>
        <w:t>编制原则</w:t>
      </w:r>
      <w:bookmarkEnd w:id="4"/>
      <w:bookmarkEnd w:id="5"/>
      <w:bookmarkEnd w:id="6"/>
      <w:bookmarkEnd w:id="7"/>
    </w:p>
    <w:p w14:paraId="285F4C61">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b/>
          <w:bCs/>
          <w:sz w:val="28"/>
          <w:szCs w:val="32"/>
          <w:lang w:val="en-US" w:eastAsia="zh-CN" w:bidi="ar-SA"/>
        </w:rPr>
        <w:t>合法合规性原则。</w:t>
      </w:r>
      <w:r>
        <w:rPr>
          <w:rFonts w:hint="default" w:ascii="Times New Roman" w:hAnsi="Times New Roman" w:eastAsia="仿宋" w:cs="Times New Roman"/>
          <w:sz w:val="28"/>
          <w:szCs w:val="32"/>
          <w:lang w:val="en-US" w:eastAsia="zh-CN" w:bidi="ar-SA"/>
        </w:rPr>
        <w:t>土地征收成片开发方案应遵循相关法律、法规的规定，必须符合《中华人民共和国土地管理法》、《自然资源部关于印发〈土地征收成片开发标准〉的通知》（自然资规〔202</w:t>
      </w:r>
      <w:r>
        <w:rPr>
          <w:rFonts w:hint="eastAsia" w:ascii="Times New Roman" w:hAnsi="Times New Roman" w:eastAsia="仿宋" w:cs="Times New Roman"/>
          <w:sz w:val="28"/>
          <w:szCs w:val="32"/>
          <w:lang w:val="en-US" w:eastAsia="zh-CN" w:bidi="ar-SA"/>
        </w:rPr>
        <w:t>3</w:t>
      </w:r>
      <w:r>
        <w:rPr>
          <w:rFonts w:hint="default" w:ascii="Times New Roman" w:hAnsi="Times New Roman" w:eastAsia="仿宋" w:cs="Times New Roman"/>
          <w:sz w:val="28"/>
          <w:szCs w:val="32"/>
          <w:lang w:val="en-US" w:eastAsia="zh-CN" w:bidi="ar-SA"/>
        </w:rPr>
        <w:t>〕</w:t>
      </w:r>
      <w:r>
        <w:rPr>
          <w:rFonts w:hint="eastAsia" w:ascii="Times New Roman" w:hAnsi="Times New Roman" w:eastAsia="仿宋" w:cs="Times New Roman"/>
          <w:sz w:val="28"/>
          <w:szCs w:val="32"/>
          <w:lang w:val="en-US" w:eastAsia="zh-CN" w:bidi="ar-SA"/>
        </w:rPr>
        <w:t>7</w:t>
      </w:r>
      <w:r>
        <w:rPr>
          <w:rFonts w:hint="default" w:ascii="Times New Roman" w:hAnsi="Times New Roman" w:eastAsia="仿宋" w:cs="Times New Roman"/>
          <w:sz w:val="28"/>
          <w:szCs w:val="32"/>
          <w:lang w:val="en-US" w:eastAsia="zh-CN" w:bidi="ar-SA"/>
        </w:rPr>
        <w:t>号）、《山西省自然资源厅关于印发&lt;山西省土地征收成片开发标准实施细则&gt;的通知》（晋自然资发〔2024〕18号）等相关规定</w:t>
      </w:r>
      <w:r>
        <w:rPr>
          <w:rFonts w:hint="eastAsia" w:ascii="Times New Roman" w:hAnsi="Times New Roman" w:eastAsia="仿宋" w:cs="Times New Roman"/>
          <w:sz w:val="28"/>
          <w:szCs w:val="32"/>
          <w:lang w:val="en-US" w:eastAsia="zh-CN" w:bidi="ar-SA"/>
        </w:rPr>
        <w:t>。</w:t>
      </w:r>
      <w:r>
        <w:rPr>
          <w:rFonts w:hint="default" w:ascii="Times New Roman" w:hAnsi="Times New Roman" w:eastAsia="仿宋" w:cs="Times New Roman"/>
          <w:sz w:val="28"/>
          <w:szCs w:val="32"/>
          <w:lang w:val="en-US" w:eastAsia="zh-CN" w:bidi="ar-SA"/>
        </w:rPr>
        <w:t>注重保护耕地，不占永久基本农田，不占生态保护红线。成片开发应当符合国民经济和社会发展规划、国土空间规划，应当符合“三线一单”生态环境管控要求，应当纳入当地国民经济和社会发展年度计划，并符合国家产业政策和供地政策。</w:t>
      </w:r>
    </w:p>
    <w:p w14:paraId="4A1A1277">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b/>
          <w:bCs/>
          <w:sz w:val="28"/>
          <w:szCs w:val="32"/>
          <w:lang w:val="en-US" w:eastAsia="zh-CN" w:bidi="ar-SA"/>
        </w:rPr>
        <w:t>突出公益性原则。</w:t>
      </w:r>
      <w:r>
        <w:rPr>
          <w:rFonts w:hint="default" w:ascii="Times New Roman" w:hAnsi="Times New Roman" w:eastAsia="仿宋" w:cs="Times New Roman"/>
          <w:sz w:val="28"/>
          <w:szCs w:val="32"/>
          <w:lang w:val="en-US" w:eastAsia="zh-CN" w:bidi="ar-SA"/>
        </w:rPr>
        <w:t>土地征收成片开发要以人民为中心，为了公共利益的需要，兼顾群众的现实和长远利益，维护群众合法权益，充分征求成片开发范围内农村集体经济组织和农民的意见，并经集体经济组织成员的村民会议三分之二以上成员或者三分之二以上村民代表同意。提高成片开发范围内基础设施、公共服务设施以及其他公益性用地的比例</w:t>
      </w:r>
      <w:r>
        <w:rPr>
          <w:rFonts w:hint="eastAsia" w:ascii="Times New Roman" w:hAnsi="Times New Roman" w:eastAsia="仿宋" w:cs="Times New Roman"/>
          <w:sz w:val="28"/>
          <w:szCs w:val="32"/>
          <w:lang w:val="en-US" w:eastAsia="zh-CN" w:bidi="ar-SA"/>
        </w:rPr>
        <w:t>，</w:t>
      </w:r>
      <w:r>
        <w:rPr>
          <w:rFonts w:hint="default" w:ascii="Times New Roman" w:hAnsi="Times New Roman" w:eastAsia="仿宋" w:cs="Times New Roman"/>
          <w:sz w:val="28"/>
          <w:szCs w:val="32"/>
          <w:lang w:val="en-US" w:eastAsia="zh-CN" w:bidi="ar-SA"/>
        </w:rPr>
        <w:t>成片开发范围内公益性用地比例一般不低于40%，以省级以上开发区为主的成片开发范围内公益性用地比例不得低于25%。</w:t>
      </w:r>
    </w:p>
    <w:p w14:paraId="7A20094C">
      <w:pPr>
        <w:widowControl w:val="0"/>
        <w:bidi w:val="0"/>
        <w:spacing w:before="50" w:beforeLines="50" w:after="50" w:afterLines="50" w:line="240" w:lineRule="auto"/>
        <w:ind w:firstLine="562" w:firstLineChars="200"/>
        <w:jc w:val="both"/>
        <w:outlineLvl w:val="9"/>
        <w:rPr>
          <w:rFonts w:hint="default" w:ascii="Times New Roman" w:hAnsi="Times New Roman" w:eastAsia="仿宋" w:cs="Times New Roman"/>
          <w:kern w:val="2"/>
          <w:sz w:val="28"/>
          <w:szCs w:val="32"/>
          <w:highlight w:val="none"/>
          <w:lang w:val="en-US" w:eastAsia="zh-CN" w:bidi="ar-SA"/>
        </w:rPr>
      </w:pPr>
      <w:r>
        <w:rPr>
          <w:rFonts w:hint="default" w:ascii="Times New Roman" w:hAnsi="Times New Roman" w:eastAsia="仿宋" w:cs="Times New Roman"/>
          <w:b/>
          <w:bCs/>
          <w:kern w:val="2"/>
          <w:sz w:val="28"/>
          <w:szCs w:val="32"/>
          <w:highlight w:val="none"/>
          <w:lang w:val="en-US" w:eastAsia="zh-CN" w:bidi="ar-SA"/>
        </w:rPr>
        <w:t>节约集约用地原则</w:t>
      </w:r>
      <w:r>
        <w:rPr>
          <w:rFonts w:hint="eastAsia" w:ascii="Times New Roman" w:hAnsi="Times New Roman" w:eastAsia="仿宋" w:cs="Times New Roman"/>
          <w:b/>
          <w:bCs/>
          <w:kern w:val="2"/>
          <w:sz w:val="28"/>
          <w:szCs w:val="32"/>
          <w:highlight w:val="none"/>
          <w:lang w:val="en-US" w:eastAsia="zh-CN" w:bidi="ar-SA"/>
        </w:rPr>
        <w:t>。</w:t>
      </w:r>
      <w:r>
        <w:rPr>
          <w:rFonts w:hint="default" w:ascii="Times New Roman" w:hAnsi="Times New Roman" w:eastAsia="仿宋" w:cs="Times New Roman"/>
          <w:kern w:val="2"/>
          <w:sz w:val="28"/>
          <w:szCs w:val="32"/>
          <w:highlight w:val="none"/>
          <w:lang w:val="en-US" w:eastAsia="zh-CN" w:bidi="ar-SA"/>
        </w:rPr>
        <w:t>土地征收成片开发应落实最严格的耕地保护制度</w:t>
      </w:r>
      <w:r>
        <w:rPr>
          <w:rFonts w:hint="eastAsia" w:ascii="Times New Roman" w:hAnsi="Times New Roman" w:eastAsia="仿宋" w:cs="Times New Roman"/>
          <w:kern w:val="2"/>
          <w:sz w:val="28"/>
          <w:szCs w:val="32"/>
          <w:highlight w:val="none"/>
          <w:lang w:val="en-US" w:eastAsia="zh-CN" w:bidi="ar-SA"/>
        </w:rPr>
        <w:t>，</w:t>
      </w:r>
      <w:r>
        <w:rPr>
          <w:rFonts w:hint="default" w:ascii="Times New Roman" w:hAnsi="Times New Roman" w:eastAsia="仿宋" w:cs="Times New Roman"/>
          <w:kern w:val="2"/>
          <w:sz w:val="28"/>
          <w:szCs w:val="32"/>
          <w:highlight w:val="none"/>
          <w:lang w:val="en-US" w:eastAsia="zh-CN" w:bidi="ar-SA"/>
        </w:rPr>
        <w:t>以保护耕地为前提，尽量不占或少占耕地。项目根据经济社会发展状况、实际用地需求、土地利用相关政策等科学合理规划布局，优化资源配置，节约集约利用土地，提高土地利用效率。</w:t>
      </w:r>
    </w:p>
    <w:p w14:paraId="31640288">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b/>
          <w:bCs/>
          <w:sz w:val="28"/>
          <w:szCs w:val="32"/>
          <w:lang w:val="en-US" w:eastAsia="zh-CN" w:bidi="ar-SA"/>
        </w:rPr>
        <w:t>科学合理和可操作性原则。</w:t>
      </w:r>
      <w:r>
        <w:rPr>
          <w:rFonts w:hint="default" w:ascii="Times New Roman" w:hAnsi="Times New Roman" w:eastAsia="仿宋" w:cs="Times New Roman"/>
          <w:sz w:val="28"/>
          <w:szCs w:val="32"/>
          <w:lang w:val="en-US" w:eastAsia="zh-CN" w:bidi="ar-SA"/>
        </w:rPr>
        <w:t>土地征收成片开发应当坚持新发展理念，立足城市的长远发展，根据土地经济规律、社会经济发展和市场需求，注重节约集约用地，注重生态环境保护，并通过深度分析和科学论证，确定成片开发的规模和范围</w:t>
      </w:r>
      <w:r>
        <w:rPr>
          <w:rFonts w:hint="eastAsia" w:ascii="Times New Roman" w:hAnsi="Times New Roman" w:eastAsia="仿宋" w:cs="Times New Roman"/>
          <w:sz w:val="28"/>
          <w:szCs w:val="32"/>
          <w:lang w:val="en-US" w:eastAsia="zh-CN" w:bidi="ar-SA"/>
        </w:rPr>
        <w:t>；</w:t>
      </w:r>
      <w:r>
        <w:rPr>
          <w:rFonts w:hint="default" w:ascii="Times New Roman" w:hAnsi="Times New Roman" w:eastAsia="仿宋" w:cs="Times New Roman"/>
          <w:sz w:val="28"/>
          <w:szCs w:val="32"/>
          <w:lang w:val="en-US" w:eastAsia="zh-CN" w:bidi="ar-SA"/>
        </w:rPr>
        <w:t>土地征收成片开发方案，坚持政府主导、市场推动、公众参与，处理好政府管理和市场行为对城市建设的调节作用，促进当地社会经济可持续发展。</w:t>
      </w:r>
    </w:p>
    <w:p w14:paraId="2D10F973">
      <w:pPr>
        <w:pStyle w:val="3"/>
        <w:numPr>
          <w:ilvl w:val="1"/>
          <w:numId w:val="0"/>
        </w:numPr>
        <w:tabs>
          <w:tab w:val="clear" w:pos="420"/>
        </w:tabs>
        <w:bidi w:val="0"/>
        <w:ind w:left="575" w:leftChars="0" w:hanging="575" w:firstLineChars="0"/>
        <w:rPr>
          <w:rFonts w:hint="default"/>
          <w:sz w:val="32"/>
          <w:szCs w:val="32"/>
          <w:lang w:val="en-US" w:eastAsia="zh-CN"/>
        </w:rPr>
      </w:pPr>
      <w:bookmarkStart w:id="8" w:name="_Toc8006"/>
      <w:r>
        <w:rPr>
          <w:rFonts w:hint="eastAsia" w:ascii="Times New Roman" w:hAnsi="Times New Roman" w:eastAsia="仿宋" w:cs="Times New Roman"/>
          <w:b/>
          <w:bCs/>
          <w:kern w:val="2"/>
          <w:sz w:val="32"/>
          <w:szCs w:val="32"/>
          <w:lang w:val="en-US" w:eastAsia="zh-CN"/>
        </w:rPr>
        <w:t>1.3.</w:t>
      </w:r>
      <w:r>
        <w:rPr>
          <w:rFonts w:hint="default"/>
          <w:sz w:val="32"/>
          <w:szCs w:val="32"/>
          <w:lang w:val="en-US" w:eastAsia="zh-CN"/>
        </w:rPr>
        <w:t>方案的依据</w:t>
      </w:r>
      <w:bookmarkEnd w:id="8"/>
    </w:p>
    <w:p w14:paraId="3F0368A8">
      <w:pPr>
        <w:pStyle w:val="4"/>
        <w:numPr>
          <w:ilvl w:val="2"/>
          <w:numId w:val="0"/>
        </w:numPr>
        <w:bidi w:val="0"/>
        <w:ind w:left="720" w:leftChars="0" w:hanging="720" w:firstLineChars="0"/>
        <w:rPr>
          <w:rFonts w:hint="default"/>
          <w:sz w:val="28"/>
          <w:szCs w:val="32"/>
          <w:lang w:val="en-US" w:eastAsia="zh-CN"/>
        </w:rPr>
      </w:pPr>
      <w:bookmarkStart w:id="9" w:name="_Toc19018"/>
      <w:bookmarkStart w:id="10" w:name="_Toc21667"/>
      <w:r>
        <w:rPr>
          <w:rFonts w:hint="eastAsia" w:ascii="Times New Roman" w:hAnsi="Times New Roman" w:eastAsia="仿宋" w:cs="Times New Roman"/>
          <w:b/>
          <w:bCs/>
          <w:kern w:val="2"/>
          <w:sz w:val="28"/>
          <w:szCs w:val="32"/>
          <w:lang w:val="en-US" w:eastAsia="zh-CN" w:bidi="ar-SA"/>
        </w:rPr>
        <w:t>1.3.1.</w:t>
      </w:r>
      <w:r>
        <w:rPr>
          <w:rFonts w:hint="default"/>
          <w:sz w:val="28"/>
          <w:szCs w:val="32"/>
          <w:lang w:val="en-US" w:eastAsia="zh-CN"/>
        </w:rPr>
        <w:t>法律</w:t>
      </w:r>
      <w:bookmarkEnd w:id="9"/>
      <w:bookmarkEnd w:id="10"/>
      <w:r>
        <w:rPr>
          <w:rFonts w:hint="eastAsia"/>
          <w:sz w:val="28"/>
          <w:szCs w:val="32"/>
          <w:lang w:val="en-US" w:eastAsia="zh-CN"/>
        </w:rPr>
        <w:t>法规</w:t>
      </w:r>
    </w:p>
    <w:p w14:paraId="43D5E2B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（1）《中华人民共和国土地管理法》（2019年修正）；</w:t>
      </w:r>
    </w:p>
    <w:p w14:paraId="539011F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）《中华人民共和国土地管理法实施条例》（2021年修订）；</w:t>
      </w:r>
    </w:p>
    <w:p w14:paraId="65E16B5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）《中华人民共和国城乡规划法》（2019年修正）；</w:t>
      </w:r>
    </w:p>
    <w:p w14:paraId="2A8DF31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4</w:t>
      </w:r>
      <w:r>
        <w:rPr>
          <w:rFonts w:hint="default" w:ascii="Times New Roman" w:hAnsi="Times New Roman" w:eastAsia="仿宋" w:cs="Times New Roman"/>
          <w:sz w:val="28"/>
          <w:szCs w:val="28"/>
          <w:highlight w:val="none"/>
          <w:lang w:val="en-US" w:eastAsia="zh-CN" w:bidi="ar-SA"/>
        </w:rPr>
        <w:t>）《中华人民共和国城市房地产管理法》（2019修正）；</w:t>
      </w:r>
    </w:p>
    <w:p w14:paraId="6F46725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5</w:t>
      </w:r>
      <w:r>
        <w:rPr>
          <w:rFonts w:hint="default" w:ascii="Times New Roman" w:hAnsi="Times New Roman" w:eastAsia="仿宋" w:cs="Times New Roman"/>
          <w:sz w:val="28"/>
          <w:szCs w:val="28"/>
          <w:highlight w:val="none"/>
          <w:lang w:val="en-US" w:eastAsia="zh-CN" w:bidi="ar-SA"/>
        </w:rPr>
        <w:t>）《中华人民共和国村民委员会组织法》（2021年修订）；</w:t>
      </w:r>
    </w:p>
    <w:p w14:paraId="4EF9A2E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6</w:t>
      </w:r>
      <w:r>
        <w:rPr>
          <w:rFonts w:hint="default" w:ascii="Times New Roman" w:hAnsi="Times New Roman" w:eastAsia="仿宋" w:cs="Times New Roman"/>
          <w:sz w:val="28"/>
          <w:szCs w:val="28"/>
          <w:highlight w:val="none"/>
          <w:lang w:val="en-US" w:eastAsia="zh-CN" w:bidi="ar-SA"/>
        </w:rPr>
        <w:t>）《中华人民共和国环境保护法》（2014年修订）；</w:t>
      </w:r>
    </w:p>
    <w:p w14:paraId="228BD18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7</w:t>
      </w:r>
      <w:r>
        <w:rPr>
          <w:rFonts w:hint="default" w:ascii="Times New Roman" w:hAnsi="Times New Roman" w:eastAsia="仿宋" w:cs="Times New Roman"/>
          <w:sz w:val="28"/>
          <w:szCs w:val="28"/>
          <w:highlight w:val="none"/>
          <w:lang w:val="en-US" w:eastAsia="zh-CN" w:bidi="ar-SA"/>
        </w:rPr>
        <w:t>）《中华人民共和国森林法》（2019年修订）；</w:t>
      </w:r>
    </w:p>
    <w:p w14:paraId="60BF01B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8</w:t>
      </w:r>
      <w:r>
        <w:rPr>
          <w:rFonts w:hint="default" w:ascii="Times New Roman" w:hAnsi="Times New Roman" w:eastAsia="仿宋" w:cs="Times New Roman"/>
          <w:sz w:val="28"/>
          <w:szCs w:val="28"/>
          <w:highlight w:val="none"/>
          <w:lang w:val="en-US" w:eastAsia="zh-CN" w:bidi="ar-SA"/>
        </w:rPr>
        <w:t>）《中华人民共和国环境影响评价法》（2018年修订）</w:t>
      </w:r>
      <w:r>
        <w:rPr>
          <w:rFonts w:hint="eastAsia" w:ascii="Times New Roman" w:hAnsi="Times New Roman" w:eastAsia="仿宋" w:cs="Times New Roman"/>
          <w:sz w:val="28"/>
          <w:szCs w:val="28"/>
          <w:highlight w:val="none"/>
          <w:lang w:val="en-US" w:eastAsia="zh-CN" w:bidi="ar-SA"/>
        </w:rPr>
        <w:t>；</w:t>
      </w:r>
    </w:p>
    <w:p w14:paraId="5FFEE50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9</w:t>
      </w:r>
      <w:r>
        <w:rPr>
          <w:rFonts w:hint="default" w:ascii="Times New Roman" w:hAnsi="Times New Roman" w:eastAsia="仿宋" w:cs="Times New Roman"/>
          <w:sz w:val="28"/>
          <w:szCs w:val="28"/>
          <w:highlight w:val="none"/>
          <w:lang w:val="en-US" w:eastAsia="zh-CN" w:bidi="ar-SA"/>
        </w:rPr>
        <w:t>）《基本农田保护条例》（2011年修订）</w:t>
      </w:r>
      <w:r>
        <w:rPr>
          <w:rFonts w:hint="eastAsia" w:ascii="Times New Roman" w:hAnsi="Times New Roman" w:eastAsia="仿宋" w:cs="Times New Roman"/>
          <w:sz w:val="28"/>
          <w:szCs w:val="28"/>
          <w:highlight w:val="none"/>
          <w:lang w:val="en-US" w:eastAsia="zh-CN" w:bidi="ar-SA"/>
        </w:rPr>
        <w:t>。</w:t>
      </w:r>
    </w:p>
    <w:p w14:paraId="359EF66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10</w:t>
      </w:r>
      <w:r>
        <w:rPr>
          <w:rFonts w:hint="default" w:ascii="Times New Roman" w:hAnsi="Times New Roman" w:eastAsia="仿宋" w:cs="Times New Roman"/>
          <w:sz w:val="28"/>
          <w:szCs w:val="28"/>
          <w:highlight w:val="none"/>
          <w:lang w:val="en-US" w:eastAsia="zh-CN" w:bidi="ar-SA"/>
        </w:rPr>
        <w:t>）《中华人民共和国草原法》（201</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年修正）</w:t>
      </w:r>
      <w:r>
        <w:rPr>
          <w:rFonts w:hint="eastAsia" w:ascii="Times New Roman" w:hAnsi="Times New Roman" w:eastAsia="仿宋" w:cs="Times New Roman"/>
          <w:sz w:val="28"/>
          <w:szCs w:val="28"/>
          <w:highlight w:val="none"/>
          <w:lang w:val="en-US" w:eastAsia="zh-CN" w:bidi="ar-SA"/>
        </w:rPr>
        <w:t>。</w:t>
      </w:r>
    </w:p>
    <w:p w14:paraId="6BA4F91A">
      <w:pPr>
        <w:pStyle w:val="4"/>
        <w:numPr>
          <w:ilvl w:val="2"/>
          <w:numId w:val="0"/>
        </w:numPr>
        <w:bidi w:val="0"/>
        <w:ind w:left="720" w:leftChars="0" w:hanging="720" w:firstLineChars="0"/>
        <w:rPr>
          <w:rFonts w:hint="default"/>
          <w:sz w:val="28"/>
          <w:szCs w:val="32"/>
          <w:lang w:val="en-US" w:eastAsia="zh-CN"/>
        </w:rPr>
      </w:pPr>
      <w:r>
        <w:rPr>
          <w:rFonts w:hint="eastAsia" w:ascii="Times New Roman" w:hAnsi="Times New Roman" w:eastAsia="仿宋" w:cs="Times New Roman"/>
          <w:b/>
          <w:bCs/>
          <w:kern w:val="2"/>
          <w:sz w:val="28"/>
          <w:szCs w:val="32"/>
          <w:lang w:val="en-US" w:eastAsia="zh-CN" w:bidi="ar-SA"/>
        </w:rPr>
        <w:t>1.3.2.</w:t>
      </w:r>
      <w:r>
        <w:rPr>
          <w:rFonts w:hint="default"/>
          <w:sz w:val="28"/>
          <w:szCs w:val="32"/>
          <w:lang w:val="en-US" w:eastAsia="zh-CN"/>
        </w:rPr>
        <w:t>政策文件</w:t>
      </w:r>
    </w:p>
    <w:p w14:paraId="74A22C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（1）</w:t>
      </w:r>
      <w:r>
        <w:rPr>
          <w:rFonts w:hint="default" w:ascii="Times New Roman" w:hAnsi="Times New Roman" w:eastAsia="仿宋" w:cs="Times New Roman"/>
          <w:sz w:val="28"/>
          <w:szCs w:val="28"/>
          <w:highlight w:val="none"/>
          <w:lang w:bidi="ar-SA"/>
        </w:rPr>
        <w:t>《</w:t>
      </w:r>
      <w:r>
        <w:rPr>
          <w:rFonts w:hint="default" w:ascii="Times New Roman" w:hAnsi="Times New Roman" w:eastAsia="仿宋" w:cs="Times New Roman"/>
          <w:sz w:val="28"/>
          <w:szCs w:val="28"/>
          <w:highlight w:val="none"/>
          <w:lang w:val="en-US" w:eastAsia="zh-CN" w:bidi="ar-SA"/>
        </w:rPr>
        <w:t>自然资源部关于印发〈国土空间调查、规划、用途管制用地用海分类指南〉</w:t>
      </w:r>
      <w:r>
        <w:rPr>
          <w:rFonts w:hint="eastAsia" w:ascii="Times New Roman" w:hAnsi="Times New Roman" w:eastAsia="仿宋" w:cs="Times New Roman"/>
          <w:sz w:val="28"/>
          <w:szCs w:val="28"/>
          <w:highlight w:val="none"/>
          <w:lang w:val="en-US" w:eastAsia="zh-CN" w:bidi="ar-SA"/>
        </w:rPr>
        <w:t>的通知</w:t>
      </w:r>
      <w:r>
        <w:rPr>
          <w:rFonts w:hint="default" w:ascii="Times New Roman" w:hAnsi="Times New Roman" w:eastAsia="仿宋" w:cs="Times New Roman"/>
          <w:sz w:val="28"/>
          <w:szCs w:val="28"/>
          <w:highlight w:val="none"/>
          <w:lang w:bidi="ar-SA"/>
        </w:rPr>
        <w:t>》</w:t>
      </w:r>
      <w:r>
        <w:rPr>
          <w:rFonts w:hint="default" w:ascii="Times New Roman" w:hAnsi="Times New Roman" w:eastAsia="仿宋" w:cs="Times New Roman"/>
          <w:sz w:val="28"/>
          <w:szCs w:val="28"/>
          <w:highlight w:val="none"/>
          <w:lang w:val="en-US" w:eastAsia="zh-CN" w:bidi="ar-SA"/>
        </w:rPr>
        <w:t>（自然资办发〔202</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234</w:t>
      </w:r>
      <w:r>
        <w:rPr>
          <w:rFonts w:hint="default" w:ascii="Times New Roman" w:hAnsi="Times New Roman" w:eastAsia="仿宋" w:cs="Times New Roman"/>
          <w:sz w:val="28"/>
          <w:szCs w:val="28"/>
          <w:highlight w:val="none"/>
          <w:lang w:val="en-US" w:eastAsia="zh-CN" w:bidi="ar-SA"/>
        </w:rPr>
        <w:t>号）</w:t>
      </w:r>
      <w:r>
        <w:rPr>
          <w:rFonts w:hint="eastAsia" w:ascii="Times New Roman" w:hAnsi="Times New Roman" w:eastAsia="仿宋" w:cs="Times New Roman"/>
          <w:sz w:val="28"/>
          <w:szCs w:val="28"/>
          <w:highlight w:val="none"/>
          <w:lang w:val="en-US" w:eastAsia="zh-CN" w:bidi="ar-SA"/>
        </w:rPr>
        <w:t>；</w:t>
      </w:r>
    </w:p>
    <w:p w14:paraId="5422FA6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《自然资源部办公厅关于依据</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三区三线</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划定成果报批建设项目用地用海有关事宜的函》（自然资办函〔2022〕2072号）</w:t>
      </w:r>
      <w:r>
        <w:rPr>
          <w:rFonts w:hint="eastAsia" w:ascii="Times New Roman" w:hAnsi="Times New Roman" w:eastAsia="仿宋" w:cs="Times New Roman"/>
          <w:sz w:val="28"/>
          <w:szCs w:val="28"/>
          <w:highlight w:val="none"/>
          <w:lang w:eastAsia="zh-CN" w:bidi="ar-SA"/>
        </w:rPr>
        <w:t>；</w:t>
      </w:r>
    </w:p>
    <w:p w14:paraId="0C64CF2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土地征收成片开发标准》（自然资规〔2023〕7号）；</w:t>
      </w:r>
    </w:p>
    <w:p w14:paraId="057C750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4</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《关于进一步规范征地报批前程序严格征地报批审核工作的通知》（晋自然资函</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2020</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103号）</w:t>
      </w:r>
      <w:r>
        <w:rPr>
          <w:rFonts w:hint="eastAsia" w:ascii="Times New Roman" w:hAnsi="Times New Roman" w:eastAsia="仿宋" w:cs="Times New Roman"/>
          <w:sz w:val="28"/>
          <w:szCs w:val="28"/>
          <w:highlight w:val="none"/>
          <w:lang w:eastAsia="zh-CN" w:bidi="ar-SA"/>
        </w:rPr>
        <w:t>；</w:t>
      </w:r>
    </w:p>
    <w:p w14:paraId="4D18DBB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5</w:t>
      </w:r>
      <w:r>
        <w:rPr>
          <w:rFonts w:hint="default" w:ascii="Times New Roman" w:hAnsi="Times New Roman" w:eastAsia="仿宋" w:cs="Times New Roman"/>
          <w:sz w:val="28"/>
          <w:szCs w:val="28"/>
          <w:highlight w:val="none"/>
          <w:lang w:val="en-US" w:eastAsia="zh-CN" w:bidi="ar-SA"/>
        </w:rPr>
        <w:t>）《山西省土地征收成片开发标准实施细则》</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晋自然资发〔20</w:t>
      </w:r>
      <w:r>
        <w:rPr>
          <w:rFonts w:hint="eastAsia" w:ascii="Times New Roman" w:hAnsi="Times New Roman" w:eastAsia="仿宋" w:cs="Times New Roman"/>
          <w:sz w:val="28"/>
          <w:szCs w:val="28"/>
          <w:highlight w:val="none"/>
          <w:lang w:val="en-US" w:eastAsia="zh-CN" w:bidi="ar-SA"/>
        </w:rPr>
        <w:t>24</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18</w:t>
      </w:r>
      <w:r>
        <w:rPr>
          <w:rFonts w:hint="default" w:ascii="Times New Roman" w:hAnsi="Times New Roman" w:eastAsia="仿宋" w:cs="Times New Roman"/>
          <w:sz w:val="28"/>
          <w:szCs w:val="28"/>
          <w:highlight w:val="none"/>
          <w:lang w:val="en-US" w:eastAsia="zh-CN" w:bidi="ar-SA"/>
        </w:rPr>
        <w:t>号</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w:t>
      </w:r>
    </w:p>
    <w:p w14:paraId="154EDE5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6</w:t>
      </w:r>
      <w:r>
        <w:rPr>
          <w:rFonts w:hint="default" w:ascii="Times New Roman" w:hAnsi="Times New Roman" w:eastAsia="仿宋" w:cs="Times New Roman"/>
          <w:sz w:val="28"/>
          <w:szCs w:val="28"/>
          <w:highlight w:val="none"/>
          <w:lang w:val="en-US" w:eastAsia="zh-CN" w:bidi="ar-SA"/>
        </w:rPr>
        <w:t>）《山西省土地征收成片开发</w:t>
      </w:r>
      <w:r>
        <w:rPr>
          <w:rFonts w:hint="eastAsia" w:ascii="Times New Roman" w:hAnsi="Times New Roman" w:eastAsia="仿宋" w:cs="Times New Roman"/>
          <w:sz w:val="28"/>
          <w:szCs w:val="28"/>
          <w:highlight w:val="none"/>
          <w:lang w:val="en-US" w:eastAsia="zh-CN" w:bidi="ar-SA"/>
        </w:rPr>
        <w:t>方案编制</w:t>
      </w:r>
      <w:r>
        <w:rPr>
          <w:rFonts w:hint="default" w:ascii="Times New Roman" w:hAnsi="Times New Roman" w:eastAsia="仿宋" w:cs="Times New Roman"/>
          <w:sz w:val="28"/>
          <w:szCs w:val="28"/>
          <w:highlight w:val="none"/>
          <w:lang w:val="en-US" w:eastAsia="zh-CN" w:bidi="ar-SA"/>
        </w:rPr>
        <w:t>技术指南（试行）》（晋自然资发〔2021〕30号）；</w:t>
      </w:r>
    </w:p>
    <w:p w14:paraId="679486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7</w:t>
      </w:r>
      <w:r>
        <w:rPr>
          <w:rFonts w:hint="default" w:ascii="Times New Roman" w:hAnsi="Times New Roman" w:eastAsia="仿宋" w:cs="Times New Roman"/>
          <w:sz w:val="28"/>
          <w:szCs w:val="28"/>
          <w:highlight w:val="none"/>
          <w:lang w:val="en-US" w:eastAsia="zh-CN" w:bidi="ar-SA"/>
        </w:rPr>
        <w:t>）《山西省人民政府〈关于进一步加强项目建设实施的意见〉》</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晋政办发〔2021〕39号</w:t>
      </w:r>
      <w:r>
        <w:rPr>
          <w:rFonts w:hint="eastAsia" w:ascii="Times New Roman" w:hAnsi="Times New Roman" w:eastAsia="仿宋" w:cs="Times New Roman"/>
          <w:sz w:val="28"/>
          <w:szCs w:val="28"/>
          <w:highlight w:val="none"/>
          <w:lang w:val="en-US" w:eastAsia="zh-CN" w:bidi="ar-SA"/>
        </w:rPr>
        <w:t>）；</w:t>
      </w:r>
    </w:p>
    <w:p w14:paraId="16FA8B3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8</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《山西省自然资源厅关于进一步做好当前建设用地报批工作有关事项的通知》（晋自然资函</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bidi="ar-SA"/>
        </w:rPr>
        <w:t>2021〕843号）</w:t>
      </w:r>
      <w:r>
        <w:rPr>
          <w:rFonts w:hint="eastAsia" w:ascii="Times New Roman" w:hAnsi="Times New Roman" w:eastAsia="仿宋" w:cs="Times New Roman"/>
          <w:sz w:val="28"/>
          <w:szCs w:val="28"/>
          <w:highlight w:val="none"/>
          <w:lang w:eastAsia="zh-CN" w:bidi="ar-SA"/>
        </w:rPr>
        <w:t>；</w:t>
      </w:r>
    </w:p>
    <w:p w14:paraId="19F8FD5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9</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eastAsia="zh-CN" w:bidi="ar-SA"/>
        </w:rPr>
        <w:t>《山西省自然资源厅国土空间规划局关于启用</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eastAsia="zh-CN" w:bidi="ar-SA"/>
        </w:rPr>
        <w:t>三区三线</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eastAsia="zh-CN" w:bidi="ar-SA"/>
        </w:rPr>
        <w:t>划定成果积极做好用地要素保障的通知》（晋自然空间规划函〔2022〕7号）</w:t>
      </w:r>
      <w:r>
        <w:rPr>
          <w:rFonts w:hint="eastAsia" w:ascii="Times New Roman" w:hAnsi="Times New Roman" w:eastAsia="仿宋" w:cs="Times New Roman"/>
          <w:sz w:val="28"/>
          <w:szCs w:val="28"/>
          <w:highlight w:val="none"/>
          <w:lang w:eastAsia="zh-CN" w:bidi="ar-SA"/>
        </w:rPr>
        <w:t>。</w:t>
      </w:r>
    </w:p>
    <w:p w14:paraId="716F367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10</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《关于对被征地农民实行基本养老保险补贴的意见》（晋政办发〔2019〕10号）。</w:t>
      </w:r>
    </w:p>
    <w:p w14:paraId="36A34B16">
      <w:pPr>
        <w:pStyle w:val="4"/>
        <w:numPr>
          <w:ilvl w:val="2"/>
          <w:numId w:val="0"/>
        </w:numPr>
        <w:bidi w:val="0"/>
        <w:ind w:left="720" w:leftChars="0" w:hanging="720" w:firstLineChars="0"/>
        <w:rPr>
          <w:rFonts w:hint="default"/>
          <w:sz w:val="28"/>
          <w:szCs w:val="32"/>
          <w:lang w:val="en-US" w:eastAsia="zh-CN"/>
        </w:rPr>
      </w:pPr>
      <w:r>
        <w:rPr>
          <w:rFonts w:hint="eastAsia" w:ascii="Times New Roman" w:hAnsi="Times New Roman" w:eastAsia="仿宋" w:cs="Times New Roman"/>
          <w:b/>
          <w:bCs/>
          <w:kern w:val="2"/>
          <w:sz w:val="28"/>
          <w:szCs w:val="32"/>
          <w:lang w:val="en-US" w:eastAsia="zh-CN" w:bidi="ar-SA"/>
        </w:rPr>
        <w:t>1.3.3.</w:t>
      </w:r>
      <w:r>
        <w:rPr>
          <w:rFonts w:hint="eastAsia"/>
          <w:sz w:val="28"/>
          <w:szCs w:val="32"/>
          <w:lang w:val="en-US" w:eastAsia="zh-CN"/>
        </w:rPr>
        <w:t>其他资料</w:t>
      </w:r>
    </w:p>
    <w:p w14:paraId="118488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1</w:t>
      </w:r>
      <w:r>
        <w:rPr>
          <w:rFonts w:hint="default"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w:t>
      </w:r>
      <w:r>
        <w:rPr>
          <w:rFonts w:hint="eastAsia" w:ascii="Times New Roman" w:hAnsi="Times New Roman" w:eastAsia="仿宋" w:cs="Times New Roman"/>
          <w:color w:val="auto"/>
          <w:sz w:val="28"/>
          <w:szCs w:val="28"/>
          <w:highlight w:val="none"/>
          <w:lang w:val="en-US" w:eastAsia="zh-CN" w:bidi="ar-SA"/>
        </w:rPr>
        <w:t>高平市</w:t>
      </w:r>
      <w:r>
        <w:rPr>
          <w:rFonts w:hint="default" w:ascii="Times New Roman" w:hAnsi="Times New Roman" w:eastAsia="仿宋" w:cs="Times New Roman"/>
          <w:color w:val="auto"/>
          <w:sz w:val="28"/>
          <w:szCs w:val="28"/>
          <w:highlight w:val="none"/>
          <w:lang w:val="en-US" w:eastAsia="zh-CN" w:bidi="ar-SA"/>
        </w:rPr>
        <w:t>国民经济和社会发展第十四个五年规划和二〇三五年远景目标纲要》；</w:t>
      </w:r>
    </w:p>
    <w:p w14:paraId="6BDA0E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高平市</w:t>
      </w:r>
      <w:r>
        <w:rPr>
          <w:rFonts w:hint="default" w:ascii="Times New Roman" w:hAnsi="Times New Roman" w:eastAsia="仿宋" w:cs="Times New Roman"/>
          <w:sz w:val="28"/>
          <w:szCs w:val="28"/>
          <w:highlight w:val="none"/>
          <w:lang w:val="en-US" w:eastAsia="zh-CN" w:bidi="ar-SA"/>
        </w:rPr>
        <w:t>国土空间总体规划（20</w:t>
      </w:r>
      <w:r>
        <w:rPr>
          <w:rFonts w:hint="eastAsia" w:ascii="Times New Roman" w:hAnsi="Times New Roman" w:eastAsia="仿宋" w:cs="Times New Roman"/>
          <w:sz w:val="28"/>
          <w:szCs w:val="28"/>
          <w:highlight w:val="none"/>
          <w:lang w:val="en-US" w:eastAsia="zh-CN" w:bidi="ar-SA"/>
        </w:rPr>
        <w:t>21</w:t>
      </w:r>
      <w:r>
        <w:rPr>
          <w:rFonts w:hint="default" w:ascii="Times New Roman" w:hAnsi="Times New Roman" w:eastAsia="仿宋" w:cs="Times New Roman"/>
          <w:sz w:val="28"/>
          <w:szCs w:val="28"/>
          <w:highlight w:val="none"/>
          <w:lang w:val="en-US" w:eastAsia="zh-CN" w:bidi="ar-SA"/>
        </w:rPr>
        <w:t>-2035</w:t>
      </w:r>
      <w:r>
        <w:rPr>
          <w:rFonts w:hint="eastAsia" w:ascii="Times New Roman" w:hAnsi="Times New Roman" w:eastAsia="仿宋" w:cs="Times New Roman"/>
          <w:sz w:val="28"/>
          <w:szCs w:val="28"/>
          <w:highlight w:val="none"/>
          <w:lang w:val="en-US" w:eastAsia="zh-CN" w:bidi="ar-SA"/>
        </w:rPr>
        <w:t>年</w:t>
      </w:r>
      <w:r>
        <w:rPr>
          <w:rFonts w:hint="default" w:ascii="Times New Roman" w:hAnsi="Times New Roman" w:eastAsia="仿宋" w:cs="Times New Roman"/>
          <w:sz w:val="28"/>
          <w:szCs w:val="28"/>
          <w:highlight w:val="none"/>
          <w:lang w:val="en-US" w:eastAsia="zh-CN" w:bidi="ar-SA"/>
        </w:rPr>
        <w:t>）》；</w:t>
      </w:r>
    </w:p>
    <w:p w14:paraId="687678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32"/>
          <w:lang w:eastAsia="zh-CN" w:bidi="ar-SA"/>
        </w:rPr>
      </w:pPr>
      <w:r>
        <w:rPr>
          <w:rFonts w:hint="eastAsia" w:ascii="Times New Roman" w:hAnsi="Times New Roman" w:eastAsia="仿宋" w:cs="Times New Roman"/>
          <w:color w:val="auto"/>
          <w:sz w:val="28"/>
          <w:szCs w:val="32"/>
          <w:lang w:val="en-US" w:eastAsia="zh-CN" w:bidi="ar-SA"/>
        </w:rPr>
        <w:t>（3）《山西省人民政府关于晋城市泽州县等5县（市）国土空间规划（2021—2035年）的批复》（晋政函</w:t>
      </w:r>
      <w:r>
        <w:rPr>
          <w:rFonts w:hint="default" w:ascii="Times New Roman" w:hAnsi="Times New Roman" w:eastAsia="仿宋" w:cs="Times New Roman"/>
          <w:color w:val="auto"/>
          <w:sz w:val="28"/>
          <w:szCs w:val="32"/>
          <w:lang w:bidi="ar-SA"/>
        </w:rPr>
        <w:t>〔202</w:t>
      </w:r>
      <w:r>
        <w:rPr>
          <w:rFonts w:hint="eastAsia" w:ascii="Times New Roman" w:hAnsi="Times New Roman" w:eastAsia="仿宋" w:cs="Times New Roman"/>
          <w:color w:val="auto"/>
          <w:sz w:val="28"/>
          <w:szCs w:val="32"/>
          <w:lang w:val="en-US" w:eastAsia="zh-CN" w:bidi="ar-SA"/>
        </w:rPr>
        <w:t>4</w:t>
      </w:r>
      <w:r>
        <w:rPr>
          <w:rFonts w:hint="default" w:ascii="Times New Roman" w:hAnsi="Times New Roman" w:eastAsia="仿宋" w:cs="Times New Roman"/>
          <w:color w:val="auto"/>
          <w:sz w:val="28"/>
          <w:szCs w:val="32"/>
          <w:lang w:bidi="ar-SA"/>
        </w:rPr>
        <w:t>〕</w:t>
      </w:r>
      <w:r>
        <w:rPr>
          <w:rFonts w:hint="eastAsia" w:ascii="Times New Roman" w:hAnsi="Times New Roman" w:eastAsia="仿宋" w:cs="Times New Roman"/>
          <w:color w:val="auto"/>
          <w:sz w:val="28"/>
          <w:szCs w:val="32"/>
          <w:lang w:val="en-US" w:eastAsia="zh-CN" w:bidi="ar-SA"/>
        </w:rPr>
        <w:t>36</w:t>
      </w:r>
      <w:r>
        <w:rPr>
          <w:rFonts w:hint="default" w:ascii="Times New Roman" w:hAnsi="Times New Roman" w:eastAsia="仿宋" w:cs="Times New Roman"/>
          <w:color w:val="auto"/>
          <w:sz w:val="28"/>
          <w:szCs w:val="32"/>
          <w:lang w:bidi="ar-SA"/>
        </w:rPr>
        <w:t>号</w:t>
      </w:r>
      <w:r>
        <w:rPr>
          <w:rFonts w:hint="eastAsia" w:ascii="Times New Roman" w:hAnsi="Times New Roman" w:eastAsia="仿宋" w:cs="Times New Roman"/>
          <w:color w:val="auto"/>
          <w:sz w:val="28"/>
          <w:szCs w:val="32"/>
          <w:lang w:val="en-US" w:eastAsia="zh-CN" w:bidi="ar-SA"/>
        </w:rPr>
        <w:t>）；</w:t>
      </w:r>
    </w:p>
    <w:p w14:paraId="4EA63B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w:t>
      </w:r>
      <w:r>
        <w:rPr>
          <w:rFonts w:hint="eastAsia" w:ascii="Times New Roman" w:hAnsi="Times New Roman" w:eastAsia="仿宋" w:cs="Times New Roman"/>
          <w:sz w:val="28"/>
          <w:szCs w:val="32"/>
          <w:lang w:val="en-US" w:eastAsia="zh-CN" w:bidi="ar-SA"/>
        </w:rPr>
        <w:t>4</w:t>
      </w:r>
      <w:r>
        <w:rPr>
          <w:rFonts w:hint="default" w:ascii="Times New Roman" w:hAnsi="Times New Roman" w:eastAsia="仿宋" w:cs="Times New Roman"/>
          <w:sz w:val="28"/>
          <w:szCs w:val="32"/>
          <w:lang w:bidi="ar-SA"/>
        </w:rPr>
        <w:t>）《自然资源部办公厅关于依据</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bidi="ar-SA"/>
        </w:rPr>
        <w:t>三区三线</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bidi="ar-SA"/>
        </w:rPr>
        <w:t>划定成果报批建设项目用地用海有关事宜的函》（自然资办函〔2022〕2072号）</w:t>
      </w:r>
      <w:r>
        <w:rPr>
          <w:rFonts w:hint="default" w:ascii="Times New Roman" w:hAnsi="Times New Roman" w:eastAsia="仿宋" w:cs="Times New Roman"/>
          <w:sz w:val="28"/>
          <w:szCs w:val="32"/>
          <w:lang w:eastAsia="zh-CN" w:bidi="ar-SA"/>
        </w:rPr>
        <w:t>；</w:t>
      </w:r>
    </w:p>
    <w:p w14:paraId="07D08F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w:t>
      </w:r>
      <w:r>
        <w:rPr>
          <w:rFonts w:hint="eastAsia" w:ascii="Times New Roman" w:hAnsi="Times New Roman" w:eastAsia="仿宋" w:cs="Times New Roman"/>
          <w:sz w:val="28"/>
          <w:szCs w:val="32"/>
          <w:lang w:val="en-US" w:eastAsia="zh-CN" w:bidi="ar-SA"/>
        </w:rPr>
        <w:t>5</w:t>
      </w:r>
      <w:r>
        <w:rPr>
          <w:rFonts w:hint="default" w:ascii="Times New Roman" w:hAnsi="Times New Roman" w:eastAsia="仿宋" w:cs="Times New Roman"/>
          <w:sz w:val="28"/>
          <w:szCs w:val="32"/>
          <w:lang w:eastAsia="zh-CN" w:bidi="ar-SA"/>
        </w:rPr>
        <w:t>）《山西省自然资源厅国土空间规划局关于启用</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eastAsia="zh-CN" w:bidi="ar-SA"/>
        </w:rPr>
        <w:t>三区三线</w:t>
      </w:r>
      <w:r>
        <w:rPr>
          <w:rFonts w:hint="eastAsia" w:ascii="Times New Roman" w:hAnsi="Times New Roman" w:eastAsia="仿宋" w:cs="Times New Roman"/>
          <w:sz w:val="28"/>
          <w:szCs w:val="32"/>
          <w:lang w:eastAsia="zh-CN" w:bidi="ar-SA"/>
        </w:rPr>
        <w:t>”</w:t>
      </w:r>
      <w:r>
        <w:rPr>
          <w:rFonts w:hint="default" w:ascii="Times New Roman" w:hAnsi="Times New Roman" w:eastAsia="仿宋" w:cs="Times New Roman"/>
          <w:sz w:val="28"/>
          <w:szCs w:val="32"/>
          <w:lang w:eastAsia="zh-CN" w:bidi="ar-SA"/>
        </w:rPr>
        <w:t>划定成果积极做好用地要素保障的通知》（晋自然空间规划函〔2022〕7号）</w:t>
      </w:r>
      <w:r>
        <w:rPr>
          <w:rFonts w:hint="eastAsia" w:ascii="Times New Roman" w:hAnsi="Times New Roman" w:eastAsia="仿宋" w:cs="Times New Roman"/>
          <w:sz w:val="28"/>
          <w:szCs w:val="32"/>
          <w:lang w:eastAsia="zh-CN" w:bidi="ar-SA"/>
        </w:rPr>
        <w:t>；</w:t>
      </w:r>
    </w:p>
    <w:p w14:paraId="432517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6</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高平市“三区三线”划定</w:t>
      </w:r>
      <w:r>
        <w:rPr>
          <w:rFonts w:hint="default" w:ascii="Times New Roman" w:hAnsi="Times New Roman" w:eastAsia="仿宋" w:cs="Times New Roman"/>
          <w:sz w:val="28"/>
          <w:szCs w:val="28"/>
          <w:highlight w:val="none"/>
          <w:lang w:val="en-US" w:eastAsia="zh-CN" w:bidi="ar-SA"/>
        </w:rPr>
        <w:t>成果</w:t>
      </w:r>
      <w:r>
        <w:rPr>
          <w:rFonts w:hint="eastAsia" w:ascii="Times New Roman" w:hAnsi="Times New Roman" w:eastAsia="仿宋" w:cs="Times New Roman"/>
          <w:sz w:val="28"/>
          <w:szCs w:val="28"/>
          <w:highlight w:val="none"/>
          <w:lang w:val="en-US" w:eastAsia="zh-CN" w:bidi="ar-SA"/>
        </w:rPr>
        <w:t>；</w:t>
      </w:r>
    </w:p>
    <w:p w14:paraId="40C1B2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7</w:t>
      </w: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高平市2023年度国土变更调查数据</w:t>
      </w:r>
      <w:r>
        <w:rPr>
          <w:rFonts w:hint="default" w:ascii="Times New Roman" w:hAnsi="Times New Roman" w:eastAsia="仿宋" w:cs="Times New Roman"/>
          <w:sz w:val="28"/>
          <w:szCs w:val="28"/>
          <w:highlight w:val="none"/>
          <w:lang w:val="en-US" w:eastAsia="zh-CN" w:bidi="ar-SA"/>
        </w:rPr>
        <w:t>；</w:t>
      </w:r>
    </w:p>
    <w:p w14:paraId="6BFE92A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w:t>
      </w:r>
      <w:r>
        <w:rPr>
          <w:rFonts w:hint="eastAsia" w:ascii="Times New Roman" w:hAnsi="Times New Roman" w:eastAsia="仿宋" w:cs="Times New Roman"/>
          <w:sz w:val="28"/>
          <w:szCs w:val="28"/>
          <w:highlight w:val="none"/>
          <w:lang w:val="en-US" w:eastAsia="zh-CN" w:bidi="ar-SA"/>
        </w:rPr>
        <w:t>8</w:t>
      </w:r>
      <w:r>
        <w:rPr>
          <w:rFonts w:hint="default" w:ascii="Times New Roman" w:hAnsi="Times New Roman" w:eastAsia="仿宋" w:cs="Times New Roman"/>
          <w:sz w:val="28"/>
          <w:szCs w:val="28"/>
          <w:highlight w:val="none"/>
          <w:lang w:val="en-US" w:eastAsia="zh-CN" w:bidi="ar-SA"/>
        </w:rPr>
        <w:t>）其他有关的法律、法规、文件、标准，以及相关规划等</w:t>
      </w:r>
      <w:r>
        <w:rPr>
          <w:rFonts w:hint="eastAsia" w:ascii="Times New Roman" w:hAnsi="Times New Roman" w:eastAsia="仿宋" w:cs="Times New Roman"/>
          <w:sz w:val="28"/>
          <w:szCs w:val="28"/>
          <w:highlight w:val="none"/>
          <w:lang w:val="en-US" w:eastAsia="zh-CN" w:bidi="ar-SA"/>
        </w:rPr>
        <w:t>。</w:t>
      </w:r>
    </w:p>
    <w:p w14:paraId="13CFC216">
      <w:pPr>
        <w:pStyle w:val="3"/>
        <w:numPr>
          <w:ilvl w:val="1"/>
          <w:numId w:val="0"/>
        </w:numPr>
        <w:tabs>
          <w:tab w:val="clear" w:pos="420"/>
        </w:tabs>
        <w:bidi w:val="0"/>
        <w:ind w:left="575" w:leftChars="0" w:hanging="575" w:firstLineChars="0"/>
        <w:rPr>
          <w:rFonts w:hint="default"/>
          <w:sz w:val="32"/>
          <w:szCs w:val="32"/>
          <w:lang w:val="en-US" w:eastAsia="zh-CN"/>
        </w:rPr>
      </w:pPr>
      <w:bookmarkStart w:id="11" w:name="_Toc20889"/>
      <w:r>
        <w:rPr>
          <w:rFonts w:hint="eastAsia" w:ascii="Times New Roman" w:hAnsi="Times New Roman" w:eastAsia="仿宋" w:cs="Times New Roman"/>
          <w:b/>
          <w:bCs/>
          <w:kern w:val="2"/>
          <w:sz w:val="32"/>
          <w:szCs w:val="32"/>
          <w:lang w:val="en-US" w:eastAsia="zh-CN"/>
        </w:rPr>
        <w:t>1.4.</w:t>
      </w:r>
      <w:r>
        <w:rPr>
          <w:rFonts w:hint="eastAsia"/>
          <w:sz w:val="32"/>
          <w:szCs w:val="32"/>
          <w:lang w:val="en-US" w:eastAsia="zh-CN"/>
        </w:rPr>
        <w:t>实施时限</w:t>
      </w:r>
      <w:bookmarkEnd w:id="11"/>
    </w:p>
    <w:p w14:paraId="31904A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综合考虑当地社会经济发展状况、市场需求情况、资金筹措等因素，本方案实施时限为</w:t>
      </w:r>
      <w:r>
        <w:rPr>
          <w:rFonts w:hint="eastAsia" w:ascii="Times New Roman" w:hAnsi="Times New Roman" w:eastAsia="仿宋" w:cs="Times New Roman"/>
          <w:sz w:val="28"/>
          <w:szCs w:val="28"/>
          <w:highlight w:val="none"/>
          <w:lang w:val="en-US" w:eastAsia="zh-CN" w:bidi="ar-SA"/>
        </w:rPr>
        <w:t>2025</w:t>
      </w:r>
      <w:r>
        <w:rPr>
          <w:rFonts w:hint="default" w:ascii="Times New Roman" w:hAnsi="Times New Roman" w:eastAsia="仿宋" w:cs="Times New Roman"/>
          <w:sz w:val="28"/>
          <w:szCs w:val="28"/>
          <w:highlight w:val="none"/>
          <w:lang w:val="en-US" w:eastAsia="zh-CN" w:bidi="ar-SA"/>
        </w:rPr>
        <w:t>年</w:t>
      </w:r>
      <w:r>
        <w:rPr>
          <w:rFonts w:hint="eastAsia" w:ascii="Times New Roman" w:hAnsi="Times New Roman" w:eastAsia="仿宋" w:cs="Times New Roman"/>
          <w:sz w:val="28"/>
          <w:szCs w:val="28"/>
          <w:highlight w:val="none"/>
          <w:lang w:val="en-US" w:eastAsia="zh-CN" w:bidi="ar-SA"/>
        </w:rPr>
        <w:t>。</w:t>
      </w:r>
    </w:p>
    <w:p w14:paraId="737947A0">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br w:type="page"/>
      </w:r>
    </w:p>
    <w:p w14:paraId="677AA142">
      <w:pPr>
        <w:pStyle w:val="2"/>
        <w:numPr>
          <w:ilvl w:val="0"/>
          <w:numId w:val="0"/>
        </w:numPr>
        <w:bidi w:val="0"/>
        <w:ind w:left="432" w:leftChars="0" w:hanging="432" w:firstLineChars="0"/>
        <w:jc w:val="both"/>
        <w:rPr>
          <w:rFonts w:hint="default"/>
          <w:sz w:val="40"/>
          <w:szCs w:val="40"/>
          <w:lang w:val="en-US" w:eastAsia="zh-CN"/>
        </w:rPr>
      </w:pPr>
      <w:bookmarkStart w:id="12" w:name="_Toc17994"/>
      <w:r>
        <w:rPr>
          <w:rFonts w:hint="default" w:ascii="Times New Roman" w:hAnsi="Times New Roman" w:eastAsia="仿宋" w:cs="Times New Roman"/>
          <w:b/>
          <w:bCs/>
          <w:kern w:val="44"/>
          <w:sz w:val="40"/>
          <w:szCs w:val="40"/>
          <w:lang w:val="en-US" w:eastAsia="zh-CN"/>
        </w:rPr>
        <w:t>2.</w:t>
      </w:r>
      <w:r>
        <w:rPr>
          <w:rFonts w:hint="default"/>
          <w:sz w:val="40"/>
          <w:szCs w:val="40"/>
          <w:lang w:val="en-US" w:eastAsia="zh-CN"/>
        </w:rPr>
        <w:t>区域基本情况</w:t>
      </w:r>
      <w:bookmarkEnd w:id="12"/>
    </w:p>
    <w:p w14:paraId="51B4EB1A">
      <w:pPr>
        <w:pStyle w:val="3"/>
        <w:numPr>
          <w:ilvl w:val="1"/>
          <w:numId w:val="0"/>
        </w:numPr>
        <w:tabs>
          <w:tab w:val="clear" w:pos="420"/>
        </w:tabs>
        <w:bidi w:val="0"/>
        <w:ind w:left="575" w:leftChars="0" w:hanging="575" w:firstLineChars="0"/>
        <w:rPr>
          <w:rFonts w:hint="default"/>
          <w:sz w:val="32"/>
          <w:szCs w:val="32"/>
          <w:lang w:val="en-US" w:eastAsia="zh-CN"/>
        </w:rPr>
      </w:pPr>
      <w:bookmarkStart w:id="13" w:name="_Toc17958"/>
      <w:r>
        <w:rPr>
          <w:rFonts w:hint="eastAsia" w:ascii="Times New Roman" w:hAnsi="Times New Roman" w:eastAsia="仿宋" w:cs="Times New Roman"/>
          <w:b/>
          <w:bCs/>
          <w:kern w:val="2"/>
          <w:sz w:val="32"/>
          <w:szCs w:val="32"/>
          <w:lang w:val="en-US" w:eastAsia="zh-CN"/>
        </w:rPr>
        <w:t>2.1.</w:t>
      </w:r>
      <w:r>
        <w:rPr>
          <w:rFonts w:hint="eastAsia"/>
          <w:sz w:val="32"/>
          <w:szCs w:val="32"/>
          <w:lang w:val="en-US" w:eastAsia="zh-CN"/>
        </w:rPr>
        <w:t>高平市</w:t>
      </w:r>
      <w:r>
        <w:rPr>
          <w:rFonts w:hint="default"/>
          <w:sz w:val="32"/>
          <w:szCs w:val="32"/>
          <w:lang w:val="en-US" w:eastAsia="zh-CN"/>
        </w:rPr>
        <w:t>成片开发总体情况</w:t>
      </w:r>
      <w:bookmarkEnd w:id="13"/>
    </w:p>
    <w:p w14:paraId="32D43FC2">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2.1.1.高平市概况</w:t>
      </w:r>
    </w:p>
    <w:p w14:paraId="24CBB4B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1</w:t>
      </w:r>
      <w:r>
        <w:rPr>
          <w:rFonts w:hint="eastAsia" w:ascii="Times New Roman" w:hAnsi="Times New Roman" w:eastAsia="仿宋" w:cs="Times New Roman"/>
          <w:sz w:val="28"/>
          <w:szCs w:val="28"/>
          <w:highlight w:val="none"/>
          <w:lang w:val="en-US" w:eastAsia="zh-CN" w:bidi="ar-SA"/>
        </w:rPr>
        <w:t>）</w:t>
      </w:r>
      <w:r>
        <w:rPr>
          <w:rFonts w:hint="default" w:ascii="Times New Roman" w:hAnsi="Times New Roman" w:eastAsia="仿宋" w:cs="Times New Roman"/>
          <w:sz w:val="28"/>
          <w:szCs w:val="28"/>
          <w:highlight w:val="none"/>
          <w:lang w:val="en-US" w:eastAsia="zh-CN" w:bidi="ar-SA"/>
        </w:rPr>
        <w:t>行政区划</w:t>
      </w:r>
    </w:p>
    <w:p w14:paraId="1A8B199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高平市</w:t>
      </w:r>
      <w:r>
        <w:rPr>
          <w:rFonts w:hint="default" w:ascii="Times New Roman" w:hAnsi="Times New Roman" w:eastAsia="仿宋" w:cs="Times New Roman"/>
          <w:sz w:val="28"/>
          <w:szCs w:val="28"/>
          <w:highlight w:val="none"/>
          <w:lang w:val="en-US" w:eastAsia="zh-CN" w:bidi="ar-SA"/>
        </w:rPr>
        <w:t>隶属于山西省晋城市，辖</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个街道办事处</w:t>
      </w:r>
      <w:r>
        <w:rPr>
          <w:rFonts w:hint="eastAsia" w:ascii="Times New Roman" w:hAnsi="Times New Roman" w:eastAsia="仿宋" w:cs="Times New Roman"/>
          <w:sz w:val="28"/>
          <w:szCs w:val="28"/>
          <w:highlight w:val="none"/>
          <w:lang w:val="en-US" w:eastAsia="zh-CN" w:bidi="ar-SA"/>
        </w:rPr>
        <w:t>，9个乡镇和3个乡。</w:t>
      </w:r>
      <w:r>
        <w:rPr>
          <w:rFonts w:hint="default" w:ascii="Times New Roman" w:hAnsi="Times New Roman" w:eastAsia="仿宋" w:cs="Times New Roman"/>
          <w:sz w:val="28"/>
          <w:szCs w:val="28"/>
          <w:highlight w:val="none"/>
          <w:lang w:val="en-US" w:eastAsia="zh-CN" w:bidi="ar-SA"/>
        </w:rPr>
        <w:t>街道办事处分别为：东城街街道办事处、南城街街道办事处、北城街街道办事处。9个镇分别是：河西镇、马村镇、米山镇、寺庄镇、陈区镇、野川镇、三甲镇、北诗镇、神农镇。</w:t>
      </w:r>
      <w:r>
        <w:rPr>
          <w:rFonts w:hint="eastAsia" w:ascii="Times New Roman" w:hAnsi="Times New Roman" w:eastAsia="仿宋" w:cs="Times New Roman"/>
          <w:sz w:val="28"/>
          <w:szCs w:val="28"/>
          <w:highlight w:val="none"/>
          <w:lang w:val="en-US" w:eastAsia="zh-CN" w:bidi="ar-SA"/>
        </w:rPr>
        <w:t>3</w:t>
      </w:r>
      <w:r>
        <w:rPr>
          <w:rFonts w:hint="default" w:ascii="Times New Roman" w:hAnsi="Times New Roman" w:eastAsia="仿宋" w:cs="Times New Roman"/>
          <w:sz w:val="28"/>
          <w:szCs w:val="28"/>
          <w:highlight w:val="none"/>
          <w:lang w:val="en-US" w:eastAsia="zh-CN" w:bidi="ar-SA"/>
        </w:rPr>
        <w:t>个乡分别是：建宁乡、石末乡、原村乡。</w:t>
      </w:r>
    </w:p>
    <w:p w14:paraId="48E1C24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val="en-US" w:eastAsia="zh-CN" w:bidi="ar-SA"/>
        </w:rPr>
        <w:t>区位条件</w:t>
      </w:r>
    </w:p>
    <w:p w14:paraId="366021B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高平市位于山西省晋城市北部，泽州盆地北端，太行山西南边缘。地理坐标为东经</w:t>
      </w:r>
      <w:r>
        <w:rPr>
          <w:rFonts w:hint="default" w:ascii="Times New Roman" w:hAnsi="Times New Roman" w:eastAsia="仿宋" w:cs="Times New Roman"/>
          <w:sz w:val="28"/>
          <w:szCs w:val="28"/>
          <w:highlight w:val="none"/>
          <w:lang w:val="en-US" w:eastAsia="zh-CN" w:bidi="ar-SA"/>
        </w:rPr>
        <w:t>112°40′-113°10′、北纬35°40′-36°00′</w:t>
      </w:r>
      <w:r>
        <w:rPr>
          <w:rFonts w:hint="eastAsia" w:ascii="Times New Roman" w:hAnsi="Times New Roman" w:eastAsia="仿宋" w:cs="Times New Roman"/>
          <w:sz w:val="28"/>
          <w:szCs w:val="28"/>
          <w:highlight w:val="none"/>
          <w:lang w:val="en-US" w:eastAsia="zh-CN" w:bidi="ar-SA"/>
        </w:rPr>
        <w:t>，东至铁佛岭与陵川县接壤，西至老马岭与沁水县毗连，西北至丹朱岭与长子县为邻，东北至金泉山与长治市相接，南至界牌岭与泽州县交界，是晋城市的北大门。</w:t>
      </w:r>
    </w:p>
    <w:p w14:paraId="4093BA5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（3）地形地貌</w:t>
      </w:r>
    </w:p>
    <w:p w14:paraId="30DDF96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高平市东、西、北三面环山，状如簸箕。丹河由西北至东南纵穿全市，其流域成带状平川，向南渐宽。整个地势西北高东南低，境内最高点为市境东北与长治县交界的金泉山，海拔1391.1</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最低处为河西镇杜村，海拔800</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相对高差591</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w:t>
      </w:r>
    </w:p>
    <w:p w14:paraId="6DC8C57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境内山峦连绵，河道纵横，丘陵起伏，沟壑纵横，平川较少，层次明显，地形破碎复杂，依其形成特点可分为三类地形：河谷平川区、黄土丘陵区、中低山区。河谷平川区分布在丹河水系两侧，冲积、洪积而成，形似不规则的带状，约占总面积的17%</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黄土丘陵区位于平川区向山区的过渡地带，近似正方形，约占35%</w:t>
      </w:r>
      <w:r>
        <w:rPr>
          <w:rFonts w:hint="eastAsia" w:ascii="Times New Roman" w:hAnsi="Times New Roman" w:eastAsia="仿宋" w:cs="Times New Roman"/>
          <w:color w:val="auto"/>
          <w:sz w:val="28"/>
          <w:szCs w:val="28"/>
          <w:highlight w:val="none"/>
          <w:lang w:val="en-US" w:eastAsia="zh-CN" w:bidi="ar-SA"/>
        </w:rPr>
        <w:t>；</w:t>
      </w:r>
      <w:r>
        <w:rPr>
          <w:rFonts w:hint="default" w:ascii="Times New Roman" w:hAnsi="Times New Roman" w:eastAsia="仿宋" w:cs="Times New Roman"/>
          <w:color w:val="auto"/>
          <w:sz w:val="28"/>
          <w:szCs w:val="28"/>
          <w:highlight w:val="none"/>
          <w:lang w:val="en-US" w:eastAsia="zh-CN" w:bidi="ar-SA"/>
        </w:rPr>
        <w:t>中低山区位于市境西部和北部边缘的吾神山系、五龙山系、首阳山系及中部的韩王山和七佛山，成不规则直角形，占总面积的48%。约50%的耕地分布在丘陵阶地上。</w:t>
      </w:r>
    </w:p>
    <w:p w14:paraId="7103C3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kern w:val="2"/>
          <w:sz w:val="28"/>
          <w:szCs w:val="28"/>
          <w:lang w:val="en-US" w:eastAsia="zh-CN" w:bidi="ar-SA"/>
        </w:rPr>
        <w:t>（4）</w:t>
      </w:r>
      <w:r>
        <w:rPr>
          <w:rFonts w:hint="eastAsia" w:ascii="Times New Roman" w:hAnsi="Times New Roman" w:eastAsia="仿宋" w:cs="Times New Roman"/>
          <w:sz w:val="28"/>
          <w:szCs w:val="28"/>
          <w:highlight w:val="none"/>
          <w:lang w:val="en-US" w:eastAsia="zh-CN" w:bidi="ar-SA"/>
        </w:rPr>
        <w:t>矿产资源</w:t>
      </w:r>
    </w:p>
    <w:p w14:paraId="244B9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高平市境内矿产资源丰富，主要有煤、硫铁矿、铁矿、铝土矿、耐火粘土、石灰岩、砂石及粘土等，尤以煤炭资源最为丰富，无烟煤分布广、储量大、埋藏浅、易开采。</w:t>
      </w:r>
    </w:p>
    <w:p w14:paraId="1824DBA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w:t>
      </w:r>
      <w:r>
        <w:rPr>
          <w:rFonts w:hint="eastAsia" w:ascii="Times New Roman" w:hAnsi="Times New Roman" w:eastAsia="仿宋" w:cs="Times New Roman"/>
          <w:color w:val="auto"/>
          <w:sz w:val="28"/>
          <w:szCs w:val="28"/>
          <w:highlight w:val="none"/>
          <w:lang w:val="en-US" w:eastAsia="zh-CN" w:bidi="ar-SA"/>
        </w:rPr>
        <w:t>4</w:t>
      </w:r>
      <w:r>
        <w:rPr>
          <w:rFonts w:hint="default" w:ascii="Times New Roman" w:hAnsi="Times New Roman" w:eastAsia="仿宋" w:cs="Times New Roman"/>
          <w:color w:val="auto"/>
          <w:sz w:val="28"/>
          <w:szCs w:val="28"/>
          <w:highlight w:val="none"/>
          <w:lang w:val="en-US" w:eastAsia="zh-CN" w:bidi="ar-SA"/>
        </w:rPr>
        <w:t>）</w:t>
      </w:r>
      <w:r>
        <w:rPr>
          <w:rFonts w:hint="eastAsia" w:ascii="Times New Roman" w:hAnsi="Times New Roman" w:eastAsia="仿宋" w:cs="Times New Roman"/>
          <w:color w:val="auto"/>
          <w:sz w:val="28"/>
          <w:szCs w:val="28"/>
          <w:highlight w:val="none"/>
          <w:lang w:val="en-US" w:eastAsia="zh-CN" w:bidi="ar-SA"/>
        </w:rPr>
        <w:t>生态环境</w:t>
      </w:r>
    </w:p>
    <w:p w14:paraId="48A7ECB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属于典型的暖温带季风气候。主要特征是：大陆性气候明显，四季分明，春季干燥多风，夏季炎热多雨，秋季凉爽有阴雨，冬季严寒少雪。年平均气温为10.9℃,一般在9.2℃-10.5℃之间。极端最低气温-23.1℃,极端最高气温37.3℃。年平均降雨量为599.7</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mm,雨季多集中在6、7、8、9四个月。气候干燥，年主导风向为西北风和东南风，冬春常见西北风，夏季多为东南风和南风，最大风力6级，一般为3-4级，冰冻期为每年10月上句至翌年3月份，最大冻土深度0.45</w:t>
      </w:r>
      <w:r>
        <w:rPr>
          <w:rFonts w:hint="eastAsia" w:ascii="Times New Roman" w:hAnsi="Times New Roman" w:eastAsia="仿宋" w:cs="Times New Roman"/>
          <w:color w:val="auto"/>
          <w:sz w:val="28"/>
          <w:szCs w:val="28"/>
          <w:highlight w:val="none"/>
          <w:lang w:val="en-US" w:eastAsia="zh-CN" w:bidi="ar-SA"/>
        </w:rPr>
        <w:t xml:space="preserve"> </w:t>
      </w:r>
      <w:r>
        <w:rPr>
          <w:rFonts w:hint="default" w:ascii="Times New Roman" w:hAnsi="Times New Roman" w:eastAsia="仿宋" w:cs="Times New Roman"/>
          <w:color w:val="auto"/>
          <w:sz w:val="28"/>
          <w:szCs w:val="28"/>
          <w:highlight w:val="none"/>
          <w:lang w:val="en-US" w:eastAsia="zh-CN" w:bidi="ar-SA"/>
        </w:rPr>
        <w:t>m,年平均无霜期为180天。</w:t>
      </w:r>
    </w:p>
    <w:p w14:paraId="50AF19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2023年，</w:t>
      </w:r>
      <w:r>
        <w:rPr>
          <w:rFonts w:hint="eastAsia" w:ascii="Times New Roman" w:hAnsi="Times New Roman" w:eastAsia="仿宋" w:cs="Times New Roman"/>
          <w:color w:val="auto"/>
          <w:sz w:val="28"/>
          <w:szCs w:val="28"/>
          <w:highlight w:val="none"/>
          <w:lang w:val="en-US" w:eastAsia="zh-CN" w:bidi="ar-SA"/>
        </w:rPr>
        <w:t>高平</w:t>
      </w:r>
      <w:r>
        <w:rPr>
          <w:rFonts w:hint="default" w:ascii="Times New Roman" w:hAnsi="Times New Roman" w:eastAsia="仿宋" w:cs="Times New Roman"/>
          <w:color w:val="auto"/>
          <w:sz w:val="28"/>
          <w:szCs w:val="28"/>
          <w:highlight w:val="none"/>
          <w:lang w:val="en-US" w:eastAsia="zh-CN" w:bidi="ar-SA"/>
        </w:rPr>
        <w:t>市空气质量综合指数4.15，达历史最好水平，同比下降4.2%，全省排名第61；优良天287天；PM</w:t>
      </w:r>
      <w:r>
        <w:rPr>
          <w:rFonts w:hint="default" w:ascii="Times New Roman" w:hAnsi="Times New Roman" w:eastAsia="仿宋" w:cs="Times New Roman"/>
          <w:color w:val="auto"/>
          <w:sz w:val="28"/>
          <w:szCs w:val="28"/>
          <w:highlight w:val="none"/>
          <w:vertAlign w:val="subscript"/>
          <w:lang w:val="en-US" w:eastAsia="zh-CN" w:bidi="ar-SA"/>
        </w:rPr>
        <w:t>2.5</w:t>
      </w:r>
      <w:r>
        <w:rPr>
          <w:rFonts w:hint="default" w:ascii="Times New Roman" w:hAnsi="Times New Roman" w:eastAsia="仿宋" w:cs="Times New Roman"/>
          <w:color w:val="auto"/>
          <w:sz w:val="28"/>
          <w:szCs w:val="28"/>
          <w:highlight w:val="none"/>
          <w:lang w:val="en-US" w:eastAsia="zh-CN" w:bidi="ar-SA"/>
        </w:rPr>
        <w:t>（32ug/m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）、PM</w:t>
      </w:r>
      <w:r>
        <w:rPr>
          <w:rFonts w:hint="default" w:ascii="Times New Roman" w:hAnsi="Times New Roman" w:eastAsia="仿宋" w:cs="Times New Roman"/>
          <w:color w:val="auto"/>
          <w:sz w:val="28"/>
          <w:szCs w:val="28"/>
          <w:highlight w:val="none"/>
          <w:vertAlign w:val="subscript"/>
          <w:lang w:val="en-US" w:eastAsia="zh-CN" w:bidi="ar-SA"/>
        </w:rPr>
        <w:t>10</w:t>
      </w:r>
      <w:r>
        <w:rPr>
          <w:rFonts w:hint="default" w:ascii="Times New Roman" w:hAnsi="Times New Roman" w:eastAsia="仿宋" w:cs="Times New Roman"/>
          <w:color w:val="auto"/>
          <w:sz w:val="28"/>
          <w:szCs w:val="28"/>
          <w:highlight w:val="none"/>
          <w:lang w:val="en-US" w:eastAsia="zh-CN" w:bidi="ar-SA"/>
        </w:rPr>
        <w:t>（62ug/m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）、SO</w:t>
      </w:r>
      <w:r>
        <w:rPr>
          <w:rFonts w:hint="default" w:ascii="Times New Roman" w:hAnsi="Times New Roman" w:eastAsia="仿宋" w:cs="Times New Roman"/>
          <w:color w:val="auto"/>
          <w:sz w:val="28"/>
          <w:szCs w:val="28"/>
          <w:highlight w:val="none"/>
          <w:vertAlign w:val="subscript"/>
          <w:lang w:val="en-US" w:eastAsia="zh-CN" w:bidi="ar-SA"/>
        </w:rPr>
        <w:t>2</w:t>
      </w:r>
      <w:r>
        <w:rPr>
          <w:rFonts w:hint="default" w:ascii="Times New Roman" w:hAnsi="Times New Roman" w:eastAsia="仿宋" w:cs="Times New Roman"/>
          <w:color w:val="auto"/>
          <w:sz w:val="28"/>
          <w:szCs w:val="28"/>
          <w:highlight w:val="none"/>
          <w:lang w:val="en-US" w:eastAsia="zh-CN" w:bidi="ar-SA"/>
        </w:rPr>
        <w:t>（11ug/m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）、CO（1.6mg/m</w:t>
      </w:r>
      <w:r>
        <w:rPr>
          <w:rFonts w:hint="default" w:ascii="Times New Roman" w:hAnsi="Times New Roman" w:eastAsia="仿宋" w:cs="Times New Roman"/>
          <w:color w:val="auto"/>
          <w:sz w:val="28"/>
          <w:szCs w:val="28"/>
          <w:highlight w:val="none"/>
          <w:vertAlign w:val="superscript"/>
          <w:lang w:val="en-US" w:eastAsia="zh-CN" w:bidi="ar-SA"/>
        </w:rPr>
        <w:t>3</w:t>
      </w:r>
      <w:r>
        <w:rPr>
          <w:rFonts w:hint="default" w:ascii="Times New Roman" w:hAnsi="Times New Roman" w:eastAsia="仿宋" w:cs="Times New Roman"/>
          <w:color w:val="auto"/>
          <w:sz w:val="28"/>
          <w:szCs w:val="28"/>
          <w:highlight w:val="none"/>
          <w:lang w:val="en-US" w:eastAsia="zh-CN" w:bidi="ar-SA"/>
        </w:rPr>
        <w:t>）均同比下降，均达历史最好水平。</w:t>
      </w:r>
    </w:p>
    <w:p w14:paraId="545C3C1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（5）历史</w:t>
      </w:r>
      <w:r>
        <w:rPr>
          <w:rFonts w:hint="default" w:ascii="Times New Roman" w:hAnsi="Times New Roman" w:eastAsia="仿宋" w:cs="Times New Roman"/>
          <w:sz w:val="28"/>
          <w:szCs w:val="28"/>
          <w:highlight w:val="none"/>
          <w:lang w:val="en-US" w:eastAsia="zh-CN" w:bidi="ar-SA"/>
        </w:rPr>
        <w:t>资源</w:t>
      </w:r>
    </w:p>
    <w:p w14:paraId="618E08F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val="en-US" w:eastAsia="zh-CN" w:bidi="ar-SA"/>
        </w:rPr>
      </w:pPr>
      <w:r>
        <w:rPr>
          <w:rFonts w:hint="default" w:ascii="Times New Roman" w:hAnsi="Times New Roman" w:eastAsia="仿宋" w:cs="Times New Roman"/>
          <w:sz w:val="28"/>
          <w:szCs w:val="28"/>
          <w:highlight w:val="none"/>
          <w:lang w:val="en-US" w:eastAsia="zh-CN" w:bidi="ar-SA"/>
        </w:rPr>
        <w:t>高平市历史悠久，文化灿烂，是神农炎帝故里，华夏文明重要发祥地之一，炎帝文化历史遗存数量最多，公祭民祭源远流长，民间传说与风情习俗流传广泛，连续举办八届“问祖炎帝·寻根高平”海峡两岸同胞神农炎帝故里民间拜祖活动；是长平之战发生地，历史上著名的长平之战，奠定了秦王朝一统天下的军事基础；是中国古建博物馆，现有国保单位22处，宋金时期以前的古建筑超过长江以南的总和；是上党梆子之乡，上党梆子五朵梅花奖得主悉数根扎于此。</w:t>
      </w:r>
    </w:p>
    <w:p w14:paraId="372AE66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eastAsia="zh-CN" w:bidi="ar-SA"/>
        </w:rPr>
        <w:t>（6）社会经济</w:t>
      </w:r>
    </w:p>
    <w:p w14:paraId="47BA921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default" w:ascii="Times New Roman" w:hAnsi="Times New Roman" w:eastAsia="仿宋" w:cs="Times New Roman"/>
          <w:color w:val="auto"/>
          <w:sz w:val="28"/>
          <w:szCs w:val="28"/>
          <w:highlight w:val="none"/>
          <w:lang w:val="en-US" w:eastAsia="zh-CN" w:bidi="ar-SA"/>
        </w:rPr>
        <w:t>高平市工业基础雄厚，企业发展迅猛。全市以煤炭支柱产业的发展带动化工、医药、建材、食品、轻纺等工业全面发展，目前已初步形成一个能源工业为主，轻重工业并举，行业门类齐全，结构比较合理的多元化支柱产业群。拥有煤炭加工、金属冶炼、轻工、建材等一批新型企业。</w:t>
      </w:r>
    </w:p>
    <w:p w14:paraId="6B8C6A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eastAsia="zh-CN" w:bidi="ar-SA"/>
        </w:rPr>
        <w:t>2023年，地区生产总值完成434亿元、增长8.6%，连续四年位居全省县（市）前五；规模以上工业增加值增长10.8%，排晋城市第一；固定资产投资完成120.3亿元，增长10.3%；社会消费品零售总额完成72.9亿元，增长7.6%；城镇居民人均可支配收入完成44658元，增长5.7%，增速排晋城市第一；农村居民人均可支配收入完成21454元，增长9.2%；一般公共预算收入完成52.5亿元，连续两年位居全省县级第一。经济实力稳居全省第一方阵前列。高平市入选2024中国中部地区综合竞争力百强县市榜单，位列第44位。</w:t>
      </w:r>
    </w:p>
    <w:p w14:paraId="5069077C">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color w:val="auto"/>
          <w:kern w:val="2"/>
          <w:sz w:val="28"/>
          <w:szCs w:val="32"/>
          <w:lang w:val="en-US" w:eastAsia="zh-CN" w:bidi="ar-SA"/>
        </w:rPr>
      </w:pPr>
      <w:r>
        <w:rPr>
          <w:rFonts w:hint="eastAsia" w:ascii="Times New Roman" w:hAnsi="Times New Roman" w:eastAsia="仿宋" w:cs="Times New Roman"/>
          <w:b/>
          <w:bCs/>
          <w:color w:val="auto"/>
          <w:kern w:val="2"/>
          <w:sz w:val="28"/>
          <w:szCs w:val="32"/>
          <w:lang w:val="en-US" w:eastAsia="zh-CN" w:bidi="ar-SA"/>
        </w:rPr>
        <w:t>2.1.2.高平市总体格局</w:t>
      </w:r>
    </w:p>
    <w:p w14:paraId="49818D7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color w:val="auto"/>
          <w:sz w:val="28"/>
          <w:szCs w:val="32"/>
          <w:highlight w:val="none"/>
          <w:lang w:val="en-US" w:eastAsia="zh-CN" w:bidi="ar-SA"/>
        </w:rPr>
        <w:t>以区域内地形地貌基本特征</w:t>
      </w:r>
      <w:r>
        <w:rPr>
          <w:rFonts w:hint="default" w:ascii="Times New Roman" w:hAnsi="Times New Roman" w:eastAsia="仿宋" w:cs="Times New Roman"/>
          <w:sz w:val="28"/>
          <w:szCs w:val="32"/>
          <w:highlight w:val="none"/>
          <w:lang w:val="en-US" w:eastAsia="zh-CN" w:bidi="ar-SA"/>
        </w:rPr>
        <w:t>为基础，以国土空间开发战略与目标为导向，结合主体功能定位，落实生态优先、绿色发展理念，构建“一廊一屏三区多楔，一核一轴一带两翼”的国土空间开发保护总体格局。</w:t>
      </w:r>
    </w:p>
    <w:p w14:paraId="59E9CE9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“一廊”，即丹河生态廊道</w:t>
      </w:r>
      <w:r>
        <w:rPr>
          <w:rFonts w:hint="eastAsia" w:ascii="Times New Roman" w:hAnsi="Times New Roman" w:eastAsia="仿宋" w:cs="Times New Roman"/>
          <w:sz w:val="28"/>
          <w:szCs w:val="32"/>
          <w:highlight w:val="none"/>
          <w:lang w:val="en-US" w:eastAsia="zh-CN" w:bidi="ar-SA"/>
        </w:rPr>
        <w:t>。将丹河打造成贯穿南北的生态廊道。</w:t>
      </w:r>
      <w:r>
        <w:rPr>
          <w:rFonts w:hint="default" w:ascii="Times New Roman" w:hAnsi="Times New Roman" w:eastAsia="仿宋" w:cs="Times New Roman"/>
          <w:sz w:val="28"/>
          <w:szCs w:val="32"/>
          <w:highlight w:val="none"/>
          <w:lang w:val="en-US" w:eastAsia="zh-CN" w:bidi="ar-SA"/>
        </w:rPr>
        <w:t>“一屏”，即北部生态屏障</w:t>
      </w:r>
      <w:r>
        <w:rPr>
          <w:rFonts w:hint="eastAsia" w:ascii="Times New Roman" w:hAnsi="Times New Roman" w:eastAsia="仿宋" w:cs="Times New Roman"/>
          <w:sz w:val="28"/>
          <w:szCs w:val="32"/>
          <w:highlight w:val="none"/>
          <w:lang w:val="en-US" w:eastAsia="zh-CN" w:bidi="ar-SA"/>
        </w:rPr>
        <w:t>。以丹河省级湿地自然公园、七佛山省级森林自然公园为本底的北部生态屏障。</w:t>
      </w:r>
      <w:r>
        <w:rPr>
          <w:rFonts w:hint="default" w:ascii="Times New Roman" w:hAnsi="Times New Roman" w:eastAsia="仿宋" w:cs="Times New Roman"/>
          <w:sz w:val="28"/>
          <w:szCs w:val="32"/>
          <w:highlight w:val="none"/>
          <w:lang w:val="en-US" w:eastAsia="zh-CN" w:bidi="ar-SA"/>
        </w:rPr>
        <w:t>“三区”，即三类农业功能区</w:t>
      </w:r>
      <w:r>
        <w:rPr>
          <w:rFonts w:hint="eastAsia" w:ascii="Times New Roman" w:hAnsi="Times New Roman" w:eastAsia="仿宋" w:cs="Times New Roman"/>
          <w:sz w:val="28"/>
          <w:szCs w:val="32"/>
          <w:highlight w:val="none"/>
          <w:lang w:val="en-US" w:eastAsia="zh-CN" w:bidi="ar-SA"/>
        </w:rPr>
        <w:t>。分别是特色农业区，重点种植当地特色水果；粮食生产功能区，以种植红薯、玉米等粮食产品为主；盆地规模农业生产区（设施农业），以蔬菜、粮食等种植为主。</w:t>
      </w:r>
    </w:p>
    <w:p w14:paraId="5707F7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“多楔”，即多个山体绿楔、滨水绿楔。“山体绿楔”，即以生物廊道为基础，利用山体植被覆盖优良区域，形成绿楔入城；“滨水绿楔”，即许河、原村河、野川河、东大河、大东仓河、小东仓河。</w:t>
      </w:r>
    </w:p>
    <w:p w14:paraId="0339687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“一核”，即中心城区</w:t>
      </w:r>
      <w:r>
        <w:rPr>
          <w:rFonts w:hint="eastAsia" w:ascii="Times New Roman" w:hAnsi="Times New Roman" w:eastAsia="仿宋" w:cs="Times New Roman"/>
          <w:sz w:val="28"/>
          <w:szCs w:val="32"/>
          <w:highlight w:val="none"/>
          <w:lang w:val="en-US" w:eastAsia="zh-CN" w:bidi="ar-SA"/>
        </w:rPr>
        <w:t>。完善中心城区综合服务功能，提升教育、医疗、体育、文化等公共服务设施水平，推进基础设施建设，加快老城有机更新，提升城市环境品质，提升就业服务能力，引导人口、产业向县城集聚。</w:t>
      </w:r>
    </w:p>
    <w:p w14:paraId="561ECC8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“一轴”，即城乡发展的“动力轴”</w:t>
      </w:r>
      <w:r>
        <w:rPr>
          <w:rFonts w:hint="eastAsia" w:ascii="Times New Roman" w:hAnsi="Times New Roman" w:eastAsia="仿宋" w:cs="Times New Roman"/>
          <w:sz w:val="28"/>
          <w:szCs w:val="32"/>
          <w:highlight w:val="none"/>
          <w:lang w:val="en-US" w:eastAsia="zh-CN" w:bidi="ar-SA"/>
        </w:rPr>
        <w:t>。将炎帝大道及208国道打造成城乡发展的“动力轴”，串联神农、三甲、河西、米山4个镇及主城区三个街道。围绕“一轴”布局建设学校、医院等，推动基础设施、公共服务设施向乡镇延伸。</w:t>
      </w:r>
    </w:p>
    <w:p w14:paraId="1278BD4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“一带”，即文旅康养和乡村振兴融合发展示范带</w:t>
      </w:r>
      <w:r>
        <w:rPr>
          <w:rFonts w:hint="eastAsia" w:ascii="Times New Roman" w:hAnsi="Times New Roman" w:eastAsia="仿宋" w:cs="Times New Roman"/>
          <w:sz w:val="28"/>
          <w:szCs w:val="32"/>
          <w:highlight w:val="none"/>
          <w:lang w:val="en-US" w:eastAsia="zh-CN" w:bidi="ar-SA"/>
        </w:rPr>
        <w:t>。将太行一号旅游公路打造成文旅康养和乡村振兴融合发展示范带，串连乡镇（街道）、农业园区、旅游景区、文保单位，实现农林文旅康三产融合发展。</w:t>
      </w:r>
    </w:p>
    <w:p w14:paraId="00F1CF8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两翼”，包含外围多个乡镇。以炎帝大道为主轴，东翼为北诗、石末、陈区、建宁4个乡镇，西翼为野川、原村、马村、寺庄4个乡镇。通过构建更完善的大路网架构，实现所有乡镇15分钟进市区、15分钟上高速，全部融入城乡发展大格局。</w:t>
      </w:r>
    </w:p>
    <w:p w14:paraId="7BED757E">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2.1.3.高平市</w:t>
      </w:r>
      <w:r>
        <w:rPr>
          <w:rFonts w:hint="default" w:ascii="Times New Roman" w:hAnsi="Times New Roman" w:eastAsia="仿宋" w:cs="Times New Roman"/>
          <w:b/>
          <w:bCs/>
          <w:kern w:val="2"/>
          <w:sz w:val="28"/>
          <w:szCs w:val="32"/>
          <w:lang w:val="en-US" w:eastAsia="zh-CN" w:bidi="ar-SA"/>
        </w:rPr>
        <w:t>战略定位</w:t>
      </w:r>
    </w:p>
    <w:p w14:paraId="7D9D798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文化展示新平台。深入挖掘文化内涵，讲好“历史故事”，持续叫响叫亮“神农炎帝故里、长平之战发生地、上党梆子之乡、中国古建博物馆”四张文化名片。</w:t>
      </w:r>
    </w:p>
    <w:p w14:paraId="06AE3B4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转型升级新高地。聚焦新基建、新技术、新材料、新装备、新产品、新业态“六新”突破，推进工业和信息化高质量转型发展。充分发挥资源型产业的优势，并加快产业升级与转型，大力发展接续产业，推动装备制造、新材料等新兴制造业的发展。</w:t>
      </w:r>
    </w:p>
    <w:p w14:paraId="201DF99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现代农业新标杆。全面推进乡村振兴，打造宜居宜业宜游的美丽高平。发展有机旱作农业，培育果品、小杂粮、蔬菜等农产品特色基地。</w:t>
      </w:r>
    </w:p>
    <w:p w14:paraId="76A39E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t>宜居宜业新家园。在大健康、大康养、大文旅深度融合、竞相发展的格局下，着力打造富有高平特色的康养事业、康养产业，以康养助推高质量发展、人民高品质生活。</w:t>
      </w:r>
    </w:p>
    <w:p w14:paraId="6A4B621D">
      <w:pPr>
        <w:pStyle w:val="3"/>
        <w:numPr>
          <w:ilvl w:val="1"/>
          <w:numId w:val="0"/>
        </w:numPr>
        <w:tabs>
          <w:tab w:val="clear" w:pos="420"/>
        </w:tabs>
        <w:bidi w:val="0"/>
        <w:ind w:left="575" w:leftChars="0" w:hanging="575" w:firstLineChars="0"/>
        <w:rPr>
          <w:rFonts w:hint="default"/>
          <w:sz w:val="32"/>
          <w:szCs w:val="32"/>
          <w:highlight w:val="none"/>
          <w:lang w:val="en-US" w:eastAsia="zh-CN"/>
        </w:rPr>
      </w:pPr>
      <w:bookmarkStart w:id="14" w:name="_Toc27130"/>
      <w:r>
        <w:rPr>
          <w:rFonts w:hint="eastAsia" w:ascii="Times New Roman" w:hAnsi="Times New Roman" w:eastAsia="仿宋" w:cs="Times New Roman"/>
          <w:b/>
          <w:bCs/>
          <w:kern w:val="2"/>
          <w:sz w:val="32"/>
          <w:szCs w:val="32"/>
          <w:lang w:val="en-US" w:eastAsia="zh-CN"/>
        </w:rPr>
        <w:t>2.2</w:t>
      </w:r>
      <w:r>
        <w:rPr>
          <w:rFonts w:hint="eastAsia" w:ascii="Times New Roman" w:hAnsi="Times New Roman" w:eastAsia="仿宋" w:cs="Times New Roman"/>
          <w:b/>
          <w:bCs/>
          <w:kern w:val="2"/>
          <w:sz w:val="32"/>
          <w:szCs w:val="32"/>
          <w:highlight w:val="none"/>
          <w:lang w:val="en-US" w:eastAsia="zh-CN"/>
        </w:rPr>
        <w:t>.</w:t>
      </w:r>
      <w:r>
        <w:rPr>
          <w:rFonts w:hint="eastAsia"/>
          <w:sz w:val="32"/>
          <w:szCs w:val="32"/>
          <w:highlight w:val="none"/>
          <w:lang w:val="en-US" w:eastAsia="zh-CN"/>
        </w:rPr>
        <w:t>片区</w:t>
      </w:r>
      <w:r>
        <w:rPr>
          <w:rFonts w:hint="default"/>
          <w:sz w:val="32"/>
          <w:szCs w:val="32"/>
          <w:highlight w:val="none"/>
          <w:lang w:val="en-US" w:eastAsia="zh-CN"/>
        </w:rPr>
        <w:t>位置、面积和范围</w:t>
      </w:r>
      <w:bookmarkEnd w:id="14"/>
    </w:p>
    <w:p w14:paraId="4F56F9B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 w:cs="Times New Roman"/>
          <w:sz w:val="28"/>
          <w:szCs w:val="28"/>
          <w:highlight w:val="none"/>
          <w:lang w:eastAsia="zh-CN" w:bidi="ar-SA"/>
        </w:rPr>
      </w:pPr>
      <w:r>
        <w:rPr>
          <w:rFonts w:hint="eastAsia" w:ascii="Times New Roman" w:hAnsi="Times New Roman" w:eastAsia="仿宋" w:cs="Times New Roman"/>
          <w:sz w:val="28"/>
          <w:szCs w:val="32"/>
          <w:highlight w:val="none"/>
          <w:lang w:val="en-US" w:eastAsia="zh-CN" w:bidi="ar-SA"/>
        </w:rPr>
        <w:t>结合高平发展特点，按照国家新型城镇化示范县城建设要求，参考城市总规和国土空间规划，考虑主城区、大县城空间布局和外围乡镇产业布局，本</w:t>
      </w:r>
      <w:r>
        <w:rPr>
          <w:rFonts w:hint="default" w:ascii="Times New Roman" w:hAnsi="Times New Roman" w:eastAsia="仿宋" w:cs="Times New Roman"/>
          <w:sz w:val="28"/>
          <w:szCs w:val="32"/>
          <w:highlight w:val="none"/>
          <w:lang w:eastAsia="zh-CN" w:bidi="ar-SA"/>
        </w:rPr>
        <w:t>方案</w:t>
      </w:r>
      <w:r>
        <w:rPr>
          <w:rFonts w:hint="eastAsia" w:ascii="Times New Roman" w:hAnsi="Times New Roman" w:eastAsia="仿宋" w:cs="Times New Roman"/>
          <w:sz w:val="28"/>
          <w:szCs w:val="32"/>
          <w:highlight w:val="none"/>
          <w:lang w:val="en-US" w:eastAsia="zh-CN" w:bidi="ar-SA"/>
        </w:rPr>
        <w:t>涉及</w:t>
      </w:r>
      <w:r>
        <w:rPr>
          <w:rFonts w:hint="eastAsia" w:ascii="Times New Roman" w:hAnsi="Times New Roman" w:eastAsia="仿宋" w:cs="Times New Roman"/>
          <w:sz w:val="28"/>
          <w:szCs w:val="28"/>
          <w:highlight w:val="none"/>
          <w:lang w:val="en-US" w:eastAsia="zh-CN" w:bidi="ar-SA"/>
        </w:rPr>
        <w:t>8个</w:t>
      </w:r>
      <w:r>
        <w:rPr>
          <w:rFonts w:hint="default" w:ascii="Times New Roman" w:hAnsi="Times New Roman" w:eastAsia="仿宋" w:cs="Times New Roman"/>
          <w:sz w:val="28"/>
          <w:szCs w:val="28"/>
          <w:highlight w:val="none"/>
          <w:lang w:val="en-US" w:eastAsia="zh-CN" w:bidi="ar-SA"/>
        </w:rPr>
        <w:t>片区</w:t>
      </w:r>
      <w:r>
        <w:rPr>
          <w:rFonts w:hint="eastAsia" w:ascii="Times New Roman" w:hAnsi="Times New Roman" w:eastAsia="仿宋" w:cs="Times New Roman"/>
          <w:sz w:val="28"/>
          <w:szCs w:val="28"/>
          <w:highlight w:val="none"/>
          <w:lang w:val="en-US" w:eastAsia="zh-CN" w:bidi="ar-SA"/>
        </w:rPr>
        <w:t>，分别为三甲南片区、米山北工业片区、米山道路片区、高铁新区A片区、苏庄商业片区1、苏庄商业片区2、许庄物流片区、建宁商业片区，</w:t>
      </w:r>
      <w:r>
        <w:rPr>
          <w:rFonts w:hint="default" w:ascii="Times New Roman" w:hAnsi="Times New Roman" w:eastAsia="仿宋" w:cs="Times New Roman"/>
          <w:sz w:val="28"/>
          <w:szCs w:val="28"/>
          <w:highlight w:val="none"/>
          <w:lang w:bidi="ar-SA"/>
        </w:rPr>
        <w:t>片区面积共计</w:t>
      </w:r>
      <w:r>
        <w:rPr>
          <w:rFonts w:hint="eastAsia" w:ascii="Times New Roman" w:hAnsi="Times New Roman" w:eastAsia="仿宋" w:cs="Times New Roman"/>
          <w:sz w:val="28"/>
          <w:szCs w:val="28"/>
          <w:highlight w:val="none"/>
          <w:lang w:val="en-US" w:eastAsia="zh-CN" w:bidi="ar-SA"/>
        </w:rPr>
        <w:t>66.0992</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共9个</w:t>
      </w:r>
      <w:r>
        <w:rPr>
          <w:rFonts w:hint="default" w:ascii="Times New Roman" w:hAnsi="Times New Roman" w:eastAsia="仿宋" w:cs="Times New Roman"/>
          <w:sz w:val="28"/>
          <w:szCs w:val="28"/>
          <w:highlight w:val="none"/>
          <w:lang w:bidi="ar-SA"/>
        </w:rPr>
        <w:t>项目，项目</w:t>
      </w:r>
      <w:r>
        <w:rPr>
          <w:rFonts w:hint="eastAsia" w:ascii="Times New Roman" w:hAnsi="Times New Roman" w:eastAsia="仿宋" w:cs="Times New Roman"/>
          <w:sz w:val="28"/>
          <w:szCs w:val="28"/>
          <w:highlight w:val="none"/>
          <w:lang w:val="en-US" w:eastAsia="zh-CN" w:bidi="ar-SA"/>
        </w:rPr>
        <w:t>用地</w:t>
      </w:r>
      <w:r>
        <w:rPr>
          <w:rFonts w:hint="default" w:ascii="Times New Roman" w:hAnsi="Times New Roman" w:eastAsia="仿宋" w:cs="Times New Roman"/>
          <w:sz w:val="28"/>
          <w:szCs w:val="28"/>
          <w:highlight w:val="none"/>
          <w:lang w:bidi="ar-SA"/>
        </w:rPr>
        <w:t>面积</w:t>
      </w:r>
      <w:r>
        <w:rPr>
          <w:rFonts w:hint="eastAsia" w:ascii="Times New Roman" w:hAnsi="Times New Roman" w:eastAsia="仿宋" w:cs="Times New Roman"/>
          <w:sz w:val="28"/>
          <w:szCs w:val="28"/>
          <w:highlight w:val="none"/>
          <w:lang w:val="en-US" w:eastAsia="zh-CN" w:bidi="ar-SA"/>
        </w:rPr>
        <w:t>45.9447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拟</w:t>
      </w:r>
      <w:r>
        <w:rPr>
          <w:rFonts w:hint="default" w:ascii="Times New Roman" w:hAnsi="Times New Roman" w:eastAsia="仿宋" w:cs="Times New Roman"/>
          <w:sz w:val="28"/>
          <w:szCs w:val="28"/>
          <w:highlight w:val="none"/>
          <w:lang w:bidi="ar-SA"/>
        </w:rPr>
        <w:t>征收面积</w:t>
      </w:r>
      <w:r>
        <w:rPr>
          <w:rFonts w:hint="eastAsia" w:ascii="Times New Roman" w:hAnsi="Times New Roman" w:eastAsia="仿宋" w:cs="Times New Roman"/>
          <w:sz w:val="28"/>
          <w:szCs w:val="28"/>
          <w:highlight w:val="none"/>
          <w:lang w:val="en-US" w:eastAsia="zh-CN" w:bidi="ar-SA"/>
        </w:rPr>
        <w:t>45.4997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详</w:t>
      </w:r>
      <w:r>
        <w:rPr>
          <w:rFonts w:hint="default" w:ascii="Times New Roman" w:hAnsi="Times New Roman" w:eastAsia="仿宋" w:cs="Times New Roman"/>
          <w:sz w:val="28"/>
          <w:szCs w:val="28"/>
          <w:highlight w:val="none"/>
          <w:lang w:bidi="ar-SA"/>
        </w:rPr>
        <w:t>见表2-1</w:t>
      </w:r>
      <w:r>
        <w:rPr>
          <w:rFonts w:hint="eastAsia" w:ascii="Times New Roman" w:hAnsi="Times New Roman" w:eastAsia="仿宋" w:cs="Times New Roman"/>
          <w:sz w:val="28"/>
          <w:szCs w:val="28"/>
          <w:highlight w:val="none"/>
          <w:lang w:eastAsia="zh-CN" w:bidi="ar-SA"/>
        </w:rPr>
        <w:t>。</w:t>
      </w:r>
    </w:p>
    <w:p w14:paraId="470C9B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kern w:val="2"/>
          <w:sz w:val="24"/>
          <w:szCs w:val="24"/>
          <w:highlight w:val="none"/>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48CE4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kern w:val="2"/>
          <w:sz w:val="24"/>
          <w:szCs w:val="24"/>
          <w:highlight w:val="none"/>
          <w:lang w:val="en-US" w:eastAsia="zh-CN" w:bidi="ar-SA"/>
        </w:rPr>
        <w:sectPr>
          <w:type w:val="continuous"/>
          <w:pgSz w:w="11906" w:h="16838"/>
          <w:pgMar w:top="1440" w:right="1800" w:bottom="1440" w:left="1800" w:header="851" w:footer="992" w:gutter="0"/>
          <w:pgNumType w:fmt="decimal" w:start="1"/>
          <w:cols w:space="425" w:num="1"/>
          <w:docGrid w:type="lines" w:linePitch="312" w:charSpace="0"/>
        </w:sectPr>
      </w:pPr>
    </w:p>
    <w:p w14:paraId="3018C4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黑体" w:cs="Times New Roman"/>
          <w:kern w:val="2"/>
          <w:sz w:val="24"/>
          <w:szCs w:val="24"/>
          <w:highlight w:val="none"/>
          <w:lang w:val="en-US" w:eastAsia="zh-CN" w:bidi="ar-SA"/>
        </w:rPr>
        <w:t>表2-1各片区详细信息一览表</w:t>
      </w:r>
    </w:p>
    <w:p w14:paraId="2B3334C0">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（单位：公顷、个）</w:t>
      </w:r>
    </w:p>
    <w:tbl>
      <w:tblPr>
        <w:tblStyle w:val="18"/>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905"/>
        <w:gridCol w:w="1740"/>
        <w:gridCol w:w="4904"/>
        <w:gridCol w:w="1188"/>
        <w:gridCol w:w="1247"/>
        <w:gridCol w:w="1247"/>
        <w:gridCol w:w="1188"/>
      </w:tblGrid>
      <w:tr w14:paraId="56763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63" w:type="pct"/>
            <w:tcBorders>
              <w:bottom w:val="single" w:color="000000" w:sz="8" w:space="0"/>
              <w:right w:val="single" w:color="000000" w:sz="8" w:space="0"/>
            </w:tcBorders>
            <w:shd w:val="clear" w:color="auto" w:fill="auto"/>
            <w:noWrap/>
            <w:vAlign w:val="center"/>
          </w:tcPr>
          <w:p w14:paraId="11EB7F41">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编号</w:t>
            </w:r>
          </w:p>
        </w:tc>
        <w:tc>
          <w:tcPr>
            <w:tcW w:w="672" w:type="pct"/>
            <w:tcBorders>
              <w:left w:val="nil"/>
              <w:bottom w:val="single" w:color="000000" w:sz="8" w:space="0"/>
              <w:right w:val="single" w:color="000000" w:sz="8" w:space="0"/>
            </w:tcBorders>
            <w:shd w:val="clear" w:color="auto" w:fill="auto"/>
            <w:noWrap/>
            <w:vAlign w:val="center"/>
          </w:tcPr>
          <w:p w14:paraId="3AD43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片区名称</w:t>
            </w:r>
          </w:p>
        </w:tc>
        <w:tc>
          <w:tcPr>
            <w:tcW w:w="614" w:type="pct"/>
            <w:tcBorders>
              <w:left w:val="nil"/>
              <w:bottom w:val="single" w:color="000000" w:sz="8" w:space="0"/>
              <w:right w:val="single" w:color="000000" w:sz="8" w:space="0"/>
            </w:tcBorders>
            <w:shd w:val="clear" w:color="auto" w:fill="auto"/>
            <w:noWrap/>
            <w:vAlign w:val="center"/>
          </w:tcPr>
          <w:p w14:paraId="319372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所在乡镇</w:t>
            </w:r>
          </w:p>
        </w:tc>
        <w:tc>
          <w:tcPr>
            <w:tcW w:w="1730" w:type="pct"/>
            <w:tcBorders>
              <w:left w:val="nil"/>
              <w:bottom w:val="single" w:color="000000" w:sz="8" w:space="0"/>
              <w:right w:val="single" w:color="000000" w:sz="8" w:space="0"/>
            </w:tcBorders>
            <w:shd w:val="clear" w:color="auto" w:fill="auto"/>
            <w:vAlign w:val="center"/>
          </w:tcPr>
          <w:p w14:paraId="7513EE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具体位置</w:t>
            </w:r>
          </w:p>
        </w:tc>
        <w:tc>
          <w:tcPr>
            <w:tcW w:w="419" w:type="pct"/>
            <w:tcBorders>
              <w:left w:val="nil"/>
              <w:bottom w:val="single" w:color="000000" w:sz="8" w:space="0"/>
              <w:right w:val="single" w:color="000000" w:sz="8" w:space="0"/>
            </w:tcBorders>
            <w:shd w:val="clear" w:color="auto" w:fill="auto"/>
            <w:noWrap/>
            <w:vAlign w:val="center"/>
          </w:tcPr>
          <w:p w14:paraId="43AED3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片区面积</w:t>
            </w:r>
          </w:p>
        </w:tc>
        <w:tc>
          <w:tcPr>
            <w:tcW w:w="440" w:type="pct"/>
            <w:tcBorders>
              <w:left w:val="nil"/>
              <w:bottom w:val="single" w:color="000000" w:sz="8" w:space="0"/>
              <w:right w:val="single" w:color="000000" w:sz="8" w:space="0"/>
            </w:tcBorders>
            <w:shd w:val="clear" w:color="auto" w:fill="auto"/>
            <w:noWrap/>
            <w:vAlign w:val="center"/>
          </w:tcPr>
          <w:p w14:paraId="00B06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用地面积</w:t>
            </w:r>
          </w:p>
        </w:tc>
        <w:tc>
          <w:tcPr>
            <w:tcW w:w="440" w:type="pct"/>
            <w:tcBorders>
              <w:left w:val="nil"/>
              <w:bottom w:val="single" w:color="000000" w:sz="8" w:space="0"/>
              <w:right w:val="single" w:color="000000" w:sz="8" w:space="0"/>
            </w:tcBorders>
            <w:shd w:val="clear" w:color="auto" w:fill="auto"/>
            <w:noWrap/>
            <w:vAlign w:val="center"/>
          </w:tcPr>
          <w:p w14:paraId="1F260F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征收面积</w:t>
            </w:r>
          </w:p>
        </w:tc>
        <w:tc>
          <w:tcPr>
            <w:tcW w:w="419" w:type="pct"/>
            <w:tcBorders>
              <w:left w:val="nil"/>
              <w:bottom w:val="single" w:color="000000" w:sz="8" w:space="0"/>
            </w:tcBorders>
            <w:shd w:val="clear" w:color="auto" w:fill="auto"/>
            <w:noWrap/>
            <w:vAlign w:val="center"/>
          </w:tcPr>
          <w:p w14:paraId="1330A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项目数量</w:t>
            </w:r>
          </w:p>
        </w:tc>
      </w:tr>
      <w:tr w14:paraId="75FBA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77E2F11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72" w:type="pct"/>
            <w:tcBorders>
              <w:top w:val="nil"/>
              <w:left w:val="nil"/>
              <w:bottom w:val="single" w:color="000000" w:sz="8" w:space="0"/>
              <w:right w:val="single" w:color="000000" w:sz="8" w:space="0"/>
            </w:tcBorders>
            <w:shd w:val="clear" w:color="auto" w:fill="auto"/>
            <w:noWrap/>
            <w:vAlign w:val="center"/>
          </w:tcPr>
          <w:p w14:paraId="5E47FB0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三甲南片区</w:t>
            </w:r>
          </w:p>
        </w:tc>
        <w:tc>
          <w:tcPr>
            <w:tcW w:w="614" w:type="pct"/>
            <w:tcBorders>
              <w:top w:val="nil"/>
              <w:left w:val="nil"/>
              <w:bottom w:val="single" w:color="000000" w:sz="8" w:space="0"/>
              <w:right w:val="single" w:color="000000" w:sz="8" w:space="0"/>
            </w:tcBorders>
            <w:shd w:val="clear" w:color="auto" w:fill="auto"/>
            <w:noWrap/>
            <w:vAlign w:val="center"/>
          </w:tcPr>
          <w:p w14:paraId="216F649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三甲镇</w:t>
            </w:r>
          </w:p>
        </w:tc>
        <w:tc>
          <w:tcPr>
            <w:tcW w:w="1730" w:type="pct"/>
            <w:tcBorders>
              <w:top w:val="nil"/>
              <w:left w:val="nil"/>
              <w:bottom w:val="single" w:color="000000" w:sz="8" w:space="0"/>
              <w:right w:val="single" w:color="000000" w:sz="8" w:space="0"/>
            </w:tcBorders>
            <w:shd w:val="clear" w:color="auto" w:fill="auto"/>
            <w:vAlign w:val="center"/>
          </w:tcPr>
          <w:p w14:paraId="53A4E19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东边100米为二广高速，西边400米为G208炎帝大道，北1500米为三甲镇政府，南400米为北李村</w:t>
            </w:r>
          </w:p>
        </w:tc>
        <w:tc>
          <w:tcPr>
            <w:tcW w:w="1188" w:type="dxa"/>
            <w:tcBorders>
              <w:top w:val="nil"/>
              <w:left w:val="nil"/>
              <w:bottom w:val="single" w:color="000000" w:sz="8" w:space="0"/>
              <w:right w:val="single" w:color="000000" w:sz="8" w:space="0"/>
            </w:tcBorders>
            <w:shd w:val="clear" w:color="auto" w:fill="auto"/>
            <w:noWrap/>
            <w:vAlign w:val="center"/>
          </w:tcPr>
          <w:p w14:paraId="4FDA1E2F">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4.2528</w:t>
            </w:r>
          </w:p>
        </w:tc>
        <w:tc>
          <w:tcPr>
            <w:tcW w:w="1247" w:type="dxa"/>
            <w:tcBorders>
              <w:top w:val="nil"/>
              <w:left w:val="nil"/>
              <w:bottom w:val="single" w:color="000000" w:sz="8" w:space="0"/>
              <w:right w:val="single" w:color="000000" w:sz="8" w:space="0"/>
            </w:tcBorders>
            <w:shd w:val="clear" w:color="auto" w:fill="auto"/>
            <w:noWrap/>
            <w:vAlign w:val="center"/>
          </w:tcPr>
          <w:p w14:paraId="1BA7B0DA">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4.2527</w:t>
            </w:r>
          </w:p>
        </w:tc>
        <w:tc>
          <w:tcPr>
            <w:tcW w:w="1247" w:type="dxa"/>
            <w:tcBorders>
              <w:top w:val="nil"/>
              <w:left w:val="nil"/>
              <w:bottom w:val="single" w:color="000000" w:sz="8" w:space="0"/>
              <w:right w:val="single" w:color="000000" w:sz="8" w:space="0"/>
            </w:tcBorders>
            <w:shd w:val="clear" w:color="auto" w:fill="auto"/>
            <w:noWrap/>
            <w:vAlign w:val="center"/>
          </w:tcPr>
          <w:p w14:paraId="430FDF75">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4.2527</w:t>
            </w:r>
          </w:p>
        </w:tc>
        <w:tc>
          <w:tcPr>
            <w:tcW w:w="419" w:type="pct"/>
            <w:tcBorders>
              <w:top w:val="nil"/>
              <w:left w:val="nil"/>
              <w:bottom w:val="single" w:color="000000" w:sz="8" w:space="0"/>
            </w:tcBorders>
            <w:shd w:val="clear" w:color="auto" w:fill="auto"/>
            <w:noWrap/>
            <w:vAlign w:val="center"/>
          </w:tcPr>
          <w:p w14:paraId="1DAEB892">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510B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2E28B44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72" w:type="pct"/>
            <w:tcBorders>
              <w:top w:val="nil"/>
              <w:left w:val="nil"/>
              <w:bottom w:val="single" w:color="000000" w:sz="8" w:space="0"/>
              <w:right w:val="single" w:color="000000" w:sz="8" w:space="0"/>
            </w:tcBorders>
            <w:shd w:val="clear" w:color="auto" w:fill="auto"/>
            <w:noWrap/>
            <w:vAlign w:val="center"/>
          </w:tcPr>
          <w:p w14:paraId="51B27CF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米山北工业片区</w:t>
            </w:r>
          </w:p>
        </w:tc>
        <w:tc>
          <w:tcPr>
            <w:tcW w:w="614" w:type="pct"/>
            <w:tcBorders>
              <w:top w:val="nil"/>
              <w:left w:val="nil"/>
              <w:bottom w:val="single" w:color="000000" w:sz="8" w:space="0"/>
              <w:right w:val="single" w:color="000000" w:sz="8" w:space="0"/>
            </w:tcBorders>
            <w:shd w:val="clear" w:color="auto" w:fill="auto"/>
            <w:noWrap/>
            <w:vAlign w:val="center"/>
          </w:tcPr>
          <w:p w14:paraId="47E846A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米山镇、陈区镇</w:t>
            </w:r>
          </w:p>
        </w:tc>
        <w:tc>
          <w:tcPr>
            <w:tcW w:w="1730" w:type="pct"/>
            <w:tcBorders>
              <w:top w:val="nil"/>
              <w:left w:val="nil"/>
              <w:bottom w:val="single" w:color="000000" w:sz="8" w:space="0"/>
              <w:right w:val="single" w:color="000000" w:sz="8" w:space="0"/>
            </w:tcBorders>
            <w:shd w:val="clear" w:color="auto" w:fill="auto"/>
            <w:vAlign w:val="center"/>
          </w:tcPr>
          <w:p w14:paraId="0071FD7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北200米为善养村，西至S331坪曲线，距南坡村300米，南至鸿福苑</w:t>
            </w:r>
          </w:p>
        </w:tc>
        <w:tc>
          <w:tcPr>
            <w:tcW w:w="1188" w:type="dxa"/>
            <w:tcBorders>
              <w:top w:val="nil"/>
              <w:left w:val="nil"/>
              <w:bottom w:val="single" w:color="000000" w:sz="8" w:space="0"/>
              <w:right w:val="single" w:color="000000" w:sz="8" w:space="0"/>
            </w:tcBorders>
            <w:shd w:val="clear" w:color="auto" w:fill="auto"/>
            <w:noWrap/>
            <w:vAlign w:val="center"/>
          </w:tcPr>
          <w:p w14:paraId="27D1C4D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36.5672</w:t>
            </w:r>
          </w:p>
        </w:tc>
        <w:tc>
          <w:tcPr>
            <w:tcW w:w="1247" w:type="dxa"/>
            <w:tcBorders>
              <w:top w:val="nil"/>
              <w:left w:val="nil"/>
              <w:bottom w:val="single" w:color="000000" w:sz="8" w:space="0"/>
              <w:right w:val="single" w:color="000000" w:sz="8" w:space="0"/>
            </w:tcBorders>
            <w:shd w:val="clear" w:color="auto" w:fill="auto"/>
            <w:noWrap/>
            <w:vAlign w:val="center"/>
          </w:tcPr>
          <w:p w14:paraId="4EEAAB85">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34.0873</w:t>
            </w:r>
          </w:p>
        </w:tc>
        <w:tc>
          <w:tcPr>
            <w:tcW w:w="1247" w:type="dxa"/>
            <w:tcBorders>
              <w:top w:val="nil"/>
              <w:left w:val="nil"/>
              <w:bottom w:val="single" w:color="000000" w:sz="8" w:space="0"/>
              <w:right w:val="single" w:color="000000" w:sz="8" w:space="0"/>
            </w:tcBorders>
            <w:shd w:val="clear" w:color="auto" w:fill="auto"/>
            <w:noWrap/>
            <w:vAlign w:val="center"/>
          </w:tcPr>
          <w:p w14:paraId="4A24546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34.0873</w:t>
            </w:r>
          </w:p>
        </w:tc>
        <w:tc>
          <w:tcPr>
            <w:tcW w:w="419" w:type="pct"/>
            <w:tcBorders>
              <w:top w:val="nil"/>
              <w:left w:val="nil"/>
              <w:bottom w:val="single" w:color="000000" w:sz="8" w:space="0"/>
            </w:tcBorders>
            <w:shd w:val="clear" w:color="auto" w:fill="auto"/>
            <w:noWrap/>
            <w:vAlign w:val="center"/>
          </w:tcPr>
          <w:p w14:paraId="28872E1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389FA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59F90C4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72" w:type="pct"/>
            <w:tcBorders>
              <w:top w:val="nil"/>
              <w:left w:val="nil"/>
              <w:bottom w:val="single" w:color="000000" w:sz="8" w:space="0"/>
              <w:right w:val="single" w:color="000000" w:sz="8" w:space="0"/>
            </w:tcBorders>
            <w:shd w:val="clear" w:color="auto" w:fill="auto"/>
            <w:noWrap/>
            <w:vAlign w:val="center"/>
          </w:tcPr>
          <w:p w14:paraId="5AA398F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米山道路片区</w:t>
            </w:r>
          </w:p>
        </w:tc>
        <w:tc>
          <w:tcPr>
            <w:tcW w:w="614" w:type="pct"/>
            <w:tcBorders>
              <w:top w:val="nil"/>
              <w:left w:val="nil"/>
              <w:bottom w:val="single" w:color="000000" w:sz="8" w:space="0"/>
              <w:right w:val="single" w:color="000000" w:sz="8" w:space="0"/>
            </w:tcBorders>
            <w:shd w:val="clear" w:color="auto" w:fill="auto"/>
            <w:noWrap/>
            <w:vAlign w:val="center"/>
          </w:tcPr>
          <w:p w14:paraId="15A7A2B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米山镇</w:t>
            </w:r>
          </w:p>
        </w:tc>
        <w:tc>
          <w:tcPr>
            <w:tcW w:w="1730" w:type="pct"/>
            <w:tcBorders>
              <w:top w:val="nil"/>
              <w:left w:val="nil"/>
              <w:bottom w:val="single" w:color="000000" w:sz="8" w:space="0"/>
              <w:right w:val="single" w:color="000000" w:sz="8" w:space="0"/>
            </w:tcBorders>
            <w:shd w:val="clear" w:color="auto" w:fill="auto"/>
            <w:vAlign w:val="center"/>
          </w:tcPr>
          <w:p w14:paraId="05851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位于米东村东南，北至S331坪曲线，西南南至中共高平市委党校，东900米为河东村</w:t>
            </w:r>
          </w:p>
        </w:tc>
        <w:tc>
          <w:tcPr>
            <w:tcW w:w="1188" w:type="dxa"/>
            <w:tcBorders>
              <w:top w:val="nil"/>
              <w:left w:val="nil"/>
              <w:bottom w:val="single" w:color="000000" w:sz="8" w:space="0"/>
              <w:right w:val="single" w:color="000000" w:sz="8" w:space="0"/>
            </w:tcBorders>
            <w:shd w:val="clear" w:color="auto" w:fill="auto"/>
            <w:noWrap/>
            <w:vAlign w:val="center"/>
          </w:tcPr>
          <w:p w14:paraId="64B88B79">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16.8471</w:t>
            </w:r>
          </w:p>
        </w:tc>
        <w:tc>
          <w:tcPr>
            <w:tcW w:w="1247" w:type="dxa"/>
            <w:tcBorders>
              <w:top w:val="nil"/>
              <w:left w:val="nil"/>
              <w:bottom w:val="single" w:color="000000" w:sz="8" w:space="0"/>
              <w:right w:val="single" w:color="000000" w:sz="8" w:space="0"/>
            </w:tcBorders>
            <w:shd w:val="clear" w:color="auto" w:fill="auto"/>
            <w:noWrap/>
            <w:vAlign w:val="center"/>
          </w:tcPr>
          <w:p w14:paraId="5B9FB955">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2.0440</w:t>
            </w:r>
          </w:p>
        </w:tc>
        <w:tc>
          <w:tcPr>
            <w:tcW w:w="1247" w:type="dxa"/>
            <w:tcBorders>
              <w:top w:val="nil"/>
              <w:left w:val="nil"/>
              <w:bottom w:val="single" w:color="000000" w:sz="8" w:space="0"/>
              <w:right w:val="single" w:color="000000" w:sz="8" w:space="0"/>
            </w:tcBorders>
            <w:shd w:val="clear" w:color="auto" w:fill="auto"/>
            <w:noWrap/>
            <w:vAlign w:val="center"/>
          </w:tcPr>
          <w:p w14:paraId="117E7B9D">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2.0440</w:t>
            </w:r>
          </w:p>
        </w:tc>
        <w:tc>
          <w:tcPr>
            <w:tcW w:w="419" w:type="pct"/>
            <w:tcBorders>
              <w:top w:val="nil"/>
              <w:left w:val="nil"/>
              <w:bottom w:val="single" w:color="000000" w:sz="8" w:space="0"/>
            </w:tcBorders>
            <w:shd w:val="clear" w:color="auto" w:fill="auto"/>
            <w:noWrap/>
            <w:vAlign w:val="center"/>
          </w:tcPr>
          <w:p w14:paraId="71C24C9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E86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2A68293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72" w:type="pct"/>
            <w:tcBorders>
              <w:top w:val="nil"/>
              <w:left w:val="nil"/>
              <w:bottom w:val="single" w:color="000000" w:sz="8" w:space="0"/>
              <w:right w:val="single" w:color="000000" w:sz="8" w:space="0"/>
            </w:tcBorders>
            <w:shd w:val="clear" w:color="auto" w:fill="auto"/>
            <w:noWrap/>
            <w:vAlign w:val="center"/>
          </w:tcPr>
          <w:p w14:paraId="0DA8935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高铁新区A片区</w:t>
            </w:r>
          </w:p>
        </w:tc>
        <w:tc>
          <w:tcPr>
            <w:tcW w:w="614" w:type="pct"/>
            <w:tcBorders>
              <w:top w:val="nil"/>
              <w:left w:val="nil"/>
              <w:bottom w:val="single" w:color="000000" w:sz="8" w:space="0"/>
              <w:right w:val="single" w:color="000000" w:sz="8" w:space="0"/>
            </w:tcBorders>
            <w:shd w:val="clear" w:color="auto" w:fill="auto"/>
            <w:noWrap/>
            <w:vAlign w:val="center"/>
          </w:tcPr>
          <w:p w14:paraId="1C2F932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河西镇</w:t>
            </w:r>
          </w:p>
        </w:tc>
        <w:tc>
          <w:tcPr>
            <w:tcW w:w="1730" w:type="pct"/>
            <w:tcBorders>
              <w:top w:val="nil"/>
              <w:left w:val="nil"/>
              <w:bottom w:val="single" w:color="000000" w:sz="8" w:space="0"/>
              <w:right w:val="single" w:color="000000" w:sz="8" w:space="0"/>
            </w:tcBorders>
            <w:shd w:val="clear" w:color="auto" w:fill="auto"/>
            <w:vAlign w:val="center"/>
          </w:tcPr>
          <w:p w14:paraId="63C3D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位于高平东站西北部，西至二淅线，东至山西省高平市凯永生物科技有限公司</w:t>
            </w:r>
          </w:p>
        </w:tc>
        <w:tc>
          <w:tcPr>
            <w:tcW w:w="1188" w:type="dxa"/>
            <w:tcBorders>
              <w:top w:val="nil"/>
              <w:left w:val="nil"/>
              <w:bottom w:val="single" w:color="000000" w:sz="8" w:space="0"/>
              <w:right w:val="single" w:color="000000" w:sz="8" w:space="0"/>
            </w:tcBorders>
            <w:shd w:val="clear" w:color="auto" w:fill="auto"/>
            <w:noWrap/>
            <w:vAlign w:val="center"/>
          </w:tcPr>
          <w:p w14:paraId="050BBB9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1.9136</w:t>
            </w:r>
          </w:p>
        </w:tc>
        <w:tc>
          <w:tcPr>
            <w:tcW w:w="1247" w:type="dxa"/>
            <w:tcBorders>
              <w:top w:val="nil"/>
              <w:left w:val="nil"/>
              <w:bottom w:val="single" w:color="000000" w:sz="8" w:space="0"/>
              <w:right w:val="single" w:color="000000" w:sz="8" w:space="0"/>
            </w:tcBorders>
            <w:shd w:val="clear" w:color="auto" w:fill="auto"/>
            <w:noWrap/>
            <w:vAlign w:val="center"/>
          </w:tcPr>
          <w:p w14:paraId="35B3300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0.3405</w:t>
            </w:r>
          </w:p>
        </w:tc>
        <w:tc>
          <w:tcPr>
            <w:tcW w:w="1247" w:type="dxa"/>
            <w:tcBorders>
              <w:top w:val="nil"/>
              <w:left w:val="nil"/>
              <w:bottom w:val="single" w:color="000000" w:sz="8" w:space="0"/>
              <w:right w:val="single" w:color="000000" w:sz="8" w:space="0"/>
            </w:tcBorders>
            <w:shd w:val="clear" w:color="auto" w:fill="auto"/>
            <w:noWrap/>
            <w:vAlign w:val="center"/>
          </w:tcPr>
          <w:p w14:paraId="672EFD1E">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0.3405</w:t>
            </w:r>
          </w:p>
        </w:tc>
        <w:tc>
          <w:tcPr>
            <w:tcW w:w="419" w:type="pct"/>
            <w:tcBorders>
              <w:top w:val="nil"/>
              <w:left w:val="nil"/>
              <w:bottom w:val="single" w:color="000000" w:sz="8" w:space="0"/>
            </w:tcBorders>
            <w:shd w:val="clear" w:color="auto" w:fill="auto"/>
            <w:noWrap/>
            <w:vAlign w:val="center"/>
          </w:tcPr>
          <w:p w14:paraId="7097824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54173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63" w:type="pct"/>
            <w:tcBorders>
              <w:top w:val="nil"/>
              <w:bottom w:val="single" w:color="000000" w:sz="8" w:space="0"/>
              <w:right w:val="single" w:color="000000" w:sz="8" w:space="0"/>
            </w:tcBorders>
            <w:shd w:val="clear" w:color="auto" w:fill="auto"/>
            <w:noWrap/>
            <w:vAlign w:val="center"/>
          </w:tcPr>
          <w:p w14:paraId="20EFE94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72" w:type="pct"/>
            <w:tcBorders>
              <w:top w:val="nil"/>
              <w:left w:val="nil"/>
              <w:bottom w:val="single" w:color="000000" w:sz="8" w:space="0"/>
              <w:right w:val="single" w:color="000000" w:sz="8" w:space="0"/>
            </w:tcBorders>
            <w:shd w:val="clear" w:color="auto" w:fill="auto"/>
            <w:noWrap/>
            <w:vAlign w:val="center"/>
          </w:tcPr>
          <w:p w14:paraId="17FF92B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苏庄商业片区1</w:t>
            </w:r>
          </w:p>
        </w:tc>
        <w:tc>
          <w:tcPr>
            <w:tcW w:w="614" w:type="pct"/>
            <w:tcBorders>
              <w:top w:val="nil"/>
              <w:left w:val="nil"/>
              <w:bottom w:val="single" w:color="000000" w:sz="8" w:space="0"/>
              <w:right w:val="single" w:color="000000" w:sz="8" w:space="0"/>
            </w:tcBorders>
            <w:shd w:val="clear" w:color="auto" w:fill="auto"/>
            <w:noWrap/>
            <w:vAlign w:val="center"/>
          </w:tcPr>
          <w:p w14:paraId="7A93A45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河西镇</w:t>
            </w:r>
          </w:p>
        </w:tc>
        <w:tc>
          <w:tcPr>
            <w:tcW w:w="1730" w:type="pct"/>
            <w:tcBorders>
              <w:top w:val="nil"/>
              <w:left w:val="nil"/>
              <w:bottom w:val="single" w:color="000000" w:sz="8" w:space="0"/>
              <w:right w:val="single" w:color="000000" w:sz="8" w:space="0"/>
            </w:tcBorders>
            <w:shd w:val="clear" w:color="auto" w:fill="auto"/>
            <w:vAlign w:val="center"/>
          </w:tcPr>
          <w:p w14:paraId="2447D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位于北苏庄东北部，龙司线东侧</w:t>
            </w:r>
          </w:p>
        </w:tc>
        <w:tc>
          <w:tcPr>
            <w:tcW w:w="1188" w:type="dxa"/>
            <w:tcBorders>
              <w:top w:val="nil"/>
              <w:left w:val="nil"/>
              <w:bottom w:val="single" w:color="000000" w:sz="8" w:space="0"/>
              <w:right w:val="single" w:color="000000" w:sz="8" w:space="0"/>
            </w:tcBorders>
            <w:shd w:val="clear" w:color="auto" w:fill="auto"/>
            <w:noWrap/>
            <w:vAlign w:val="center"/>
          </w:tcPr>
          <w:p w14:paraId="1B1BF19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3.1105</w:t>
            </w:r>
          </w:p>
        </w:tc>
        <w:tc>
          <w:tcPr>
            <w:tcW w:w="1247" w:type="dxa"/>
            <w:tcBorders>
              <w:top w:val="nil"/>
              <w:left w:val="nil"/>
              <w:bottom w:val="single" w:color="000000" w:sz="8" w:space="0"/>
              <w:right w:val="single" w:color="000000" w:sz="8" w:space="0"/>
            </w:tcBorders>
            <w:shd w:val="clear" w:color="auto" w:fill="auto"/>
            <w:noWrap/>
            <w:vAlign w:val="center"/>
          </w:tcPr>
          <w:p w14:paraId="4C1EED3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2.6647</w:t>
            </w:r>
          </w:p>
        </w:tc>
        <w:tc>
          <w:tcPr>
            <w:tcW w:w="1247" w:type="dxa"/>
            <w:tcBorders>
              <w:top w:val="nil"/>
              <w:left w:val="nil"/>
              <w:bottom w:val="single" w:color="000000" w:sz="8" w:space="0"/>
              <w:right w:val="single" w:color="000000" w:sz="8" w:space="0"/>
            </w:tcBorders>
            <w:shd w:val="clear" w:color="auto" w:fill="auto"/>
            <w:noWrap/>
            <w:vAlign w:val="center"/>
          </w:tcPr>
          <w:p w14:paraId="0B053B76">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2.6647</w:t>
            </w:r>
          </w:p>
        </w:tc>
        <w:tc>
          <w:tcPr>
            <w:tcW w:w="419" w:type="pct"/>
            <w:tcBorders>
              <w:top w:val="nil"/>
              <w:left w:val="nil"/>
              <w:bottom w:val="single" w:color="000000" w:sz="8" w:space="0"/>
            </w:tcBorders>
            <w:shd w:val="clear" w:color="auto" w:fill="auto"/>
            <w:noWrap/>
            <w:vAlign w:val="center"/>
          </w:tcPr>
          <w:p w14:paraId="3D0EFB2A">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1C6A2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63" w:type="pct"/>
            <w:tcBorders>
              <w:top w:val="nil"/>
              <w:bottom w:val="single" w:color="000000" w:sz="8" w:space="0"/>
              <w:right w:val="single" w:color="000000" w:sz="8" w:space="0"/>
            </w:tcBorders>
            <w:shd w:val="clear" w:color="auto" w:fill="auto"/>
            <w:noWrap/>
            <w:vAlign w:val="center"/>
          </w:tcPr>
          <w:p w14:paraId="0483F49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72" w:type="pct"/>
            <w:tcBorders>
              <w:top w:val="nil"/>
              <w:left w:val="nil"/>
              <w:bottom w:val="single" w:color="000000" w:sz="8" w:space="0"/>
              <w:right w:val="single" w:color="000000" w:sz="8" w:space="0"/>
            </w:tcBorders>
            <w:shd w:val="clear" w:color="auto" w:fill="auto"/>
            <w:noWrap/>
            <w:vAlign w:val="center"/>
          </w:tcPr>
          <w:p w14:paraId="061F975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苏庄商业片区2</w:t>
            </w:r>
          </w:p>
        </w:tc>
        <w:tc>
          <w:tcPr>
            <w:tcW w:w="614" w:type="pct"/>
            <w:tcBorders>
              <w:top w:val="nil"/>
              <w:left w:val="nil"/>
              <w:bottom w:val="single" w:color="000000" w:sz="8" w:space="0"/>
              <w:right w:val="single" w:color="000000" w:sz="8" w:space="0"/>
            </w:tcBorders>
            <w:shd w:val="clear" w:color="auto" w:fill="auto"/>
            <w:noWrap/>
            <w:vAlign w:val="center"/>
          </w:tcPr>
          <w:p w14:paraId="4A0BBA7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河西镇</w:t>
            </w:r>
          </w:p>
        </w:tc>
        <w:tc>
          <w:tcPr>
            <w:tcW w:w="1730" w:type="pct"/>
            <w:tcBorders>
              <w:top w:val="nil"/>
              <w:left w:val="nil"/>
              <w:bottom w:val="single" w:color="000000" w:sz="8" w:space="0"/>
              <w:right w:val="single" w:color="000000" w:sz="8" w:space="0"/>
            </w:tcBorders>
            <w:shd w:val="clear" w:color="auto" w:fill="auto"/>
            <w:vAlign w:val="center"/>
          </w:tcPr>
          <w:p w14:paraId="5D2DBA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位于北苏庄中南部，龙司线西侧</w:t>
            </w:r>
          </w:p>
        </w:tc>
        <w:tc>
          <w:tcPr>
            <w:tcW w:w="1188" w:type="dxa"/>
            <w:tcBorders>
              <w:top w:val="nil"/>
              <w:left w:val="nil"/>
              <w:bottom w:val="single" w:color="000000" w:sz="8" w:space="0"/>
              <w:right w:val="single" w:color="000000" w:sz="8" w:space="0"/>
            </w:tcBorders>
            <w:shd w:val="clear" w:color="auto" w:fill="auto"/>
            <w:noWrap/>
            <w:vAlign w:val="center"/>
          </w:tcPr>
          <w:p w14:paraId="3014241C">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1.0053</w:t>
            </w:r>
          </w:p>
        </w:tc>
        <w:tc>
          <w:tcPr>
            <w:tcW w:w="1247" w:type="dxa"/>
            <w:tcBorders>
              <w:top w:val="nil"/>
              <w:left w:val="nil"/>
              <w:bottom w:val="single" w:color="000000" w:sz="8" w:space="0"/>
              <w:right w:val="single" w:color="000000" w:sz="8" w:space="0"/>
            </w:tcBorders>
            <w:shd w:val="clear" w:color="auto" w:fill="auto"/>
            <w:noWrap/>
            <w:vAlign w:val="center"/>
          </w:tcPr>
          <w:p w14:paraId="7BF9A43B">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0.1527</w:t>
            </w:r>
          </w:p>
        </w:tc>
        <w:tc>
          <w:tcPr>
            <w:tcW w:w="1247" w:type="dxa"/>
            <w:tcBorders>
              <w:top w:val="nil"/>
              <w:left w:val="nil"/>
              <w:bottom w:val="single" w:color="000000" w:sz="8" w:space="0"/>
              <w:right w:val="single" w:color="000000" w:sz="8" w:space="0"/>
            </w:tcBorders>
            <w:shd w:val="clear" w:color="auto" w:fill="auto"/>
            <w:noWrap/>
            <w:vAlign w:val="center"/>
          </w:tcPr>
          <w:p w14:paraId="79A0E1A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0.1527</w:t>
            </w:r>
          </w:p>
        </w:tc>
        <w:tc>
          <w:tcPr>
            <w:tcW w:w="419" w:type="pct"/>
            <w:tcBorders>
              <w:top w:val="nil"/>
              <w:left w:val="nil"/>
              <w:bottom w:val="single" w:color="000000" w:sz="8" w:space="0"/>
            </w:tcBorders>
            <w:shd w:val="clear" w:color="auto" w:fill="auto"/>
            <w:noWrap/>
            <w:vAlign w:val="center"/>
          </w:tcPr>
          <w:p w14:paraId="7F250B5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FEFF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6E90D3E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72" w:type="pct"/>
            <w:tcBorders>
              <w:top w:val="nil"/>
              <w:left w:val="nil"/>
              <w:bottom w:val="single" w:color="000000" w:sz="8" w:space="0"/>
              <w:right w:val="single" w:color="000000" w:sz="8" w:space="0"/>
            </w:tcBorders>
            <w:shd w:val="clear" w:color="auto" w:fill="auto"/>
            <w:noWrap/>
            <w:vAlign w:val="center"/>
          </w:tcPr>
          <w:p w14:paraId="54284D6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许庄物流片区</w:t>
            </w:r>
          </w:p>
        </w:tc>
        <w:tc>
          <w:tcPr>
            <w:tcW w:w="614" w:type="pct"/>
            <w:tcBorders>
              <w:top w:val="nil"/>
              <w:left w:val="nil"/>
              <w:bottom w:val="single" w:color="000000" w:sz="8" w:space="0"/>
              <w:right w:val="single" w:color="000000" w:sz="8" w:space="0"/>
            </w:tcBorders>
            <w:shd w:val="clear" w:color="auto" w:fill="auto"/>
            <w:noWrap/>
            <w:vAlign w:val="center"/>
          </w:tcPr>
          <w:p w14:paraId="4B2EEF5F">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南城街道办</w:t>
            </w:r>
          </w:p>
        </w:tc>
        <w:tc>
          <w:tcPr>
            <w:tcW w:w="1730" w:type="pct"/>
            <w:tcBorders>
              <w:top w:val="nil"/>
              <w:left w:val="nil"/>
              <w:bottom w:val="single" w:color="000000" w:sz="8" w:space="0"/>
              <w:right w:val="single" w:color="000000" w:sz="8" w:space="0"/>
            </w:tcBorders>
            <w:shd w:val="clear" w:color="auto" w:fill="auto"/>
            <w:vAlign w:val="center"/>
          </w:tcPr>
          <w:p w14:paraId="21603E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位于太行润源食品有限公司北，西至S227，南800米为向阳村，东350米为铁路线</w:t>
            </w:r>
          </w:p>
        </w:tc>
        <w:tc>
          <w:tcPr>
            <w:tcW w:w="1188" w:type="dxa"/>
            <w:tcBorders>
              <w:top w:val="nil"/>
              <w:left w:val="nil"/>
              <w:bottom w:val="single" w:color="000000" w:sz="8" w:space="0"/>
              <w:right w:val="single" w:color="000000" w:sz="8" w:space="0"/>
            </w:tcBorders>
            <w:shd w:val="clear" w:color="auto" w:fill="auto"/>
            <w:noWrap/>
            <w:vAlign w:val="center"/>
          </w:tcPr>
          <w:p w14:paraId="5BAAD08E">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2.1951</w:t>
            </w:r>
          </w:p>
        </w:tc>
        <w:tc>
          <w:tcPr>
            <w:tcW w:w="1247" w:type="dxa"/>
            <w:tcBorders>
              <w:top w:val="nil"/>
              <w:left w:val="nil"/>
              <w:bottom w:val="single" w:color="000000" w:sz="8" w:space="0"/>
              <w:right w:val="single" w:color="000000" w:sz="8" w:space="0"/>
            </w:tcBorders>
            <w:shd w:val="clear" w:color="auto" w:fill="auto"/>
            <w:noWrap/>
            <w:vAlign w:val="center"/>
          </w:tcPr>
          <w:p w14:paraId="45BE5E6F">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2.1951</w:t>
            </w:r>
          </w:p>
        </w:tc>
        <w:tc>
          <w:tcPr>
            <w:tcW w:w="1247" w:type="dxa"/>
            <w:tcBorders>
              <w:top w:val="nil"/>
              <w:left w:val="nil"/>
              <w:bottom w:val="single" w:color="000000" w:sz="8" w:space="0"/>
              <w:right w:val="single" w:color="000000" w:sz="8" w:space="0"/>
            </w:tcBorders>
            <w:shd w:val="clear" w:color="auto" w:fill="auto"/>
            <w:noWrap/>
            <w:vAlign w:val="center"/>
          </w:tcPr>
          <w:p w14:paraId="63EF59E1">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2.1951</w:t>
            </w:r>
          </w:p>
        </w:tc>
        <w:tc>
          <w:tcPr>
            <w:tcW w:w="419" w:type="pct"/>
            <w:tcBorders>
              <w:top w:val="nil"/>
              <w:left w:val="nil"/>
              <w:bottom w:val="single" w:color="000000" w:sz="8" w:space="0"/>
            </w:tcBorders>
            <w:shd w:val="clear" w:color="auto" w:fill="auto"/>
            <w:noWrap/>
            <w:vAlign w:val="center"/>
          </w:tcPr>
          <w:p w14:paraId="4DFD2B48">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7592C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63" w:type="pct"/>
            <w:tcBorders>
              <w:top w:val="nil"/>
              <w:bottom w:val="single" w:color="000000" w:sz="8" w:space="0"/>
              <w:right w:val="single" w:color="000000" w:sz="8" w:space="0"/>
            </w:tcBorders>
            <w:shd w:val="clear" w:color="auto" w:fill="auto"/>
            <w:noWrap/>
            <w:vAlign w:val="center"/>
          </w:tcPr>
          <w:p w14:paraId="109BF53F">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72" w:type="pct"/>
            <w:tcBorders>
              <w:top w:val="nil"/>
              <w:left w:val="nil"/>
              <w:bottom w:val="single" w:color="000000" w:sz="8" w:space="0"/>
              <w:right w:val="single" w:color="000000" w:sz="8" w:space="0"/>
            </w:tcBorders>
            <w:shd w:val="clear" w:color="auto" w:fill="auto"/>
            <w:noWrap/>
            <w:vAlign w:val="center"/>
          </w:tcPr>
          <w:p w14:paraId="359B9D4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建宁商业片区</w:t>
            </w:r>
          </w:p>
        </w:tc>
        <w:tc>
          <w:tcPr>
            <w:tcW w:w="614" w:type="pct"/>
            <w:tcBorders>
              <w:top w:val="nil"/>
              <w:left w:val="nil"/>
              <w:bottom w:val="single" w:color="000000" w:sz="8" w:space="0"/>
              <w:right w:val="single" w:color="000000" w:sz="8" w:space="0"/>
            </w:tcBorders>
            <w:shd w:val="clear" w:color="auto" w:fill="auto"/>
            <w:noWrap/>
            <w:vAlign w:val="center"/>
          </w:tcPr>
          <w:p w14:paraId="3171EED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建宁乡</w:t>
            </w:r>
          </w:p>
        </w:tc>
        <w:tc>
          <w:tcPr>
            <w:tcW w:w="1730" w:type="pct"/>
            <w:tcBorders>
              <w:top w:val="nil"/>
              <w:left w:val="nil"/>
              <w:bottom w:val="single" w:color="000000" w:sz="8" w:space="0"/>
              <w:right w:val="single" w:color="000000" w:sz="8" w:space="0"/>
            </w:tcBorders>
            <w:shd w:val="clear" w:color="auto" w:fill="auto"/>
            <w:vAlign w:val="center"/>
          </w:tcPr>
          <w:p w14:paraId="2B02D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位于郭庄东800米，西至兴宁路，南300米为S331</w:t>
            </w:r>
          </w:p>
        </w:tc>
        <w:tc>
          <w:tcPr>
            <w:tcW w:w="1188" w:type="dxa"/>
            <w:tcBorders>
              <w:top w:val="nil"/>
              <w:left w:val="nil"/>
              <w:bottom w:val="single" w:color="000000" w:sz="8" w:space="0"/>
              <w:right w:val="single" w:color="000000" w:sz="8" w:space="0"/>
            </w:tcBorders>
            <w:shd w:val="clear" w:color="auto" w:fill="auto"/>
            <w:noWrap/>
            <w:vAlign w:val="center"/>
          </w:tcPr>
          <w:p w14:paraId="1B1F8714">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0.2077</w:t>
            </w:r>
          </w:p>
        </w:tc>
        <w:tc>
          <w:tcPr>
            <w:tcW w:w="1247" w:type="dxa"/>
            <w:tcBorders>
              <w:top w:val="nil"/>
              <w:left w:val="nil"/>
              <w:bottom w:val="single" w:color="000000" w:sz="8" w:space="0"/>
              <w:right w:val="single" w:color="000000" w:sz="8" w:space="0"/>
            </w:tcBorders>
            <w:shd w:val="clear" w:color="auto" w:fill="auto"/>
            <w:noWrap/>
            <w:vAlign w:val="center"/>
          </w:tcPr>
          <w:p w14:paraId="28B0E4BA">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0.2077</w:t>
            </w:r>
          </w:p>
        </w:tc>
        <w:tc>
          <w:tcPr>
            <w:tcW w:w="1247" w:type="dxa"/>
            <w:tcBorders>
              <w:top w:val="nil"/>
              <w:left w:val="nil"/>
              <w:bottom w:val="single" w:color="000000" w:sz="8" w:space="0"/>
              <w:right w:val="single" w:color="000000" w:sz="8" w:space="0"/>
            </w:tcBorders>
            <w:shd w:val="clear" w:color="auto" w:fill="auto"/>
            <w:noWrap/>
            <w:vAlign w:val="center"/>
          </w:tcPr>
          <w:p w14:paraId="3D8EE857">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0.2077</w:t>
            </w:r>
          </w:p>
        </w:tc>
        <w:tc>
          <w:tcPr>
            <w:tcW w:w="419" w:type="pct"/>
            <w:tcBorders>
              <w:top w:val="nil"/>
              <w:left w:val="nil"/>
              <w:bottom w:val="single" w:color="000000" w:sz="8" w:space="0"/>
            </w:tcBorders>
            <w:shd w:val="clear" w:color="auto" w:fill="auto"/>
            <w:noWrap/>
            <w:vAlign w:val="center"/>
          </w:tcPr>
          <w:p w14:paraId="2355740D">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2DD01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63" w:type="pct"/>
            <w:tcBorders>
              <w:top w:val="nil"/>
              <w:right w:val="single" w:color="000000" w:sz="8" w:space="0"/>
            </w:tcBorders>
            <w:shd w:val="clear" w:color="auto" w:fill="auto"/>
            <w:noWrap/>
            <w:vAlign w:val="center"/>
          </w:tcPr>
          <w:p w14:paraId="2F7B7F4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672" w:type="pct"/>
            <w:tcBorders>
              <w:top w:val="nil"/>
              <w:left w:val="nil"/>
              <w:right w:val="single" w:color="000000" w:sz="8" w:space="0"/>
            </w:tcBorders>
            <w:shd w:val="clear" w:color="auto" w:fill="auto"/>
            <w:noWrap/>
            <w:vAlign w:val="center"/>
          </w:tcPr>
          <w:p w14:paraId="7DCEB317">
            <w:pPr>
              <w:jc w:val="center"/>
              <w:rPr>
                <w:rFonts w:hint="eastAsia" w:ascii="仿宋" w:hAnsi="仿宋" w:eastAsia="仿宋" w:cs="仿宋"/>
                <w:i w:val="0"/>
                <w:iCs w:val="0"/>
                <w:color w:val="000000"/>
                <w:sz w:val="21"/>
                <w:szCs w:val="21"/>
                <w:u w:val="none"/>
              </w:rPr>
            </w:pPr>
          </w:p>
        </w:tc>
        <w:tc>
          <w:tcPr>
            <w:tcW w:w="614" w:type="pct"/>
            <w:tcBorders>
              <w:top w:val="nil"/>
              <w:left w:val="nil"/>
              <w:right w:val="single" w:color="000000" w:sz="8" w:space="0"/>
            </w:tcBorders>
            <w:shd w:val="clear" w:color="auto" w:fill="auto"/>
            <w:noWrap/>
            <w:vAlign w:val="center"/>
          </w:tcPr>
          <w:p w14:paraId="4B83BE31">
            <w:pPr>
              <w:jc w:val="center"/>
              <w:rPr>
                <w:rFonts w:hint="eastAsia" w:ascii="仿宋" w:hAnsi="仿宋" w:eastAsia="仿宋" w:cs="仿宋"/>
                <w:i w:val="0"/>
                <w:iCs w:val="0"/>
                <w:color w:val="000000"/>
                <w:sz w:val="21"/>
                <w:szCs w:val="21"/>
                <w:u w:val="none"/>
              </w:rPr>
            </w:pPr>
          </w:p>
        </w:tc>
        <w:tc>
          <w:tcPr>
            <w:tcW w:w="1730" w:type="pct"/>
            <w:tcBorders>
              <w:top w:val="nil"/>
              <w:left w:val="nil"/>
              <w:right w:val="single" w:color="000000" w:sz="8" w:space="0"/>
            </w:tcBorders>
            <w:shd w:val="clear" w:color="auto" w:fill="auto"/>
            <w:vAlign w:val="center"/>
          </w:tcPr>
          <w:p w14:paraId="2AA3926B">
            <w:pPr>
              <w:jc w:val="center"/>
              <w:rPr>
                <w:rFonts w:hint="default" w:ascii="Times New Roman" w:hAnsi="Times New Roman" w:eastAsia="宋体" w:cs="Times New Roman"/>
                <w:i w:val="0"/>
                <w:iCs w:val="0"/>
                <w:color w:val="000000"/>
                <w:sz w:val="21"/>
                <w:szCs w:val="21"/>
                <w:u w:val="none"/>
              </w:rPr>
            </w:pPr>
          </w:p>
        </w:tc>
        <w:tc>
          <w:tcPr>
            <w:tcW w:w="1188" w:type="dxa"/>
            <w:tcBorders>
              <w:top w:val="nil"/>
              <w:left w:val="nil"/>
              <w:right w:val="single" w:color="000000" w:sz="8" w:space="0"/>
            </w:tcBorders>
            <w:shd w:val="clear" w:color="auto" w:fill="auto"/>
            <w:noWrap/>
            <w:vAlign w:val="center"/>
          </w:tcPr>
          <w:p w14:paraId="3F2C19D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66.0992</w:t>
            </w:r>
          </w:p>
        </w:tc>
        <w:tc>
          <w:tcPr>
            <w:tcW w:w="1247" w:type="dxa"/>
            <w:tcBorders>
              <w:top w:val="nil"/>
              <w:left w:val="nil"/>
              <w:right w:val="single" w:color="000000" w:sz="8" w:space="0"/>
            </w:tcBorders>
            <w:shd w:val="clear" w:color="auto" w:fill="auto"/>
            <w:noWrap/>
            <w:vAlign w:val="center"/>
          </w:tcPr>
          <w:p w14:paraId="65D14900">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45.9447</w:t>
            </w:r>
          </w:p>
        </w:tc>
        <w:tc>
          <w:tcPr>
            <w:tcW w:w="1247" w:type="dxa"/>
            <w:tcBorders>
              <w:top w:val="nil"/>
              <w:left w:val="nil"/>
              <w:right w:val="single" w:color="000000" w:sz="8" w:space="0"/>
            </w:tcBorders>
            <w:shd w:val="clear" w:color="auto" w:fill="auto"/>
            <w:noWrap/>
            <w:vAlign w:val="center"/>
          </w:tcPr>
          <w:p w14:paraId="11D0FF67">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45.9447</w:t>
            </w:r>
          </w:p>
        </w:tc>
        <w:tc>
          <w:tcPr>
            <w:tcW w:w="419" w:type="pct"/>
            <w:tcBorders>
              <w:top w:val="nil"/>
              <w:left w:val="nil"/>
            </w:tcBorders>
            <w:shd w:val="clear" w:color="auto" w:fill="auto"/>
            <w:noWrap/>
            <w:vAlign w:val="center"/>
          </w:tcPr>
          <w:p w14:paraId="7C7E9DDC">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bl>
    <w:p w14:paraId="07F0F7B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sz w:val="28"/>
          <w:szCs w:val="28"/>
          <w:highlight w:val="none"/>
        </w:rPr>
      </w:pPr>
    </w:p>
    <w:p w14:paraId="6114123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sz w:val="28"/>
          <w:szCs w:val="28"/>
          <w:highlight w:val="none"/>
        </w:rPr>
      </w:pPr>
    </w:p>
    <w:p w14:paraId="629FCD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sz w:val="28"/>
          <w:szCs w:val="28"/>
          <w:highlight w:val="none"/>
        </w:rPr>
        <w:sectPr>
          <w:footerReference r:id="rId5" w:type="default"/>
          <w:type w:val="continuous"/>
          <w:pgSz w:w="16838" w:h="11906" w:orient="landscape"/>
          <w:pgMar w:top="1803" w:right="1440" w:bottom="1803" w:left="1440" w:header="851" w:footer="992" w:gutter="0"/>
          <w:pgNumType w:fmt="decimal"/>
          <w:cols w:space="0" w:num="1"/>
          <w:rtlGutter w:val="0"/>
          <w:docGrid w:type="lines" w:linePitch="319" w:charSpace="0"/>
        </w:sectPr>
      </w:pPr>
    </w:p>
    <w:p w14:paraId="508E80DA">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2.2.1.各片区</w:t>
      </w:r>
      <w:r>
        <w:rPr>
          <w:rFonts w:hint="default" w:ascii="Times New Roman" w:hAnsi="Times New Roman" w:eastAsia="仿宋" w:cs="Times New Roman"/>
          <w:b/>
          <w:bCs/>
          <w:kern w:val="2"/>
          <w:sz w:val="28"/>
          <w:szCs w:val="32"/>
          <w:lang w:val="en-US" w:eastAsia="zh-CN" w:bidi="ar-SA"/>
        </w:rPr>
        <w:t>位置、面积和范围</w:t>
      </w:r>
    </w:p>
    <w:p w14:paraId="4F36312C">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highlight w:val="none"/>
          <w:lang w:val="en-US" w:eastAsia="zh-CN" w:bidi="ar-SA"/>
        </w:rPr>
        <w:t>位于三甲镇，具体位置：片区东边100米为二广高速，西边400米为G208炎帝大道，北1500米为三甲镇政府，南400米为北李村。片区面积4.2528公顷，共1个项目，项目用地面积4.2527公顷，拟征收面积4.2527公顷。</w:t>
      </w:r>
    </w:p>
    <w:p w14:paraId="3F0A6EA4">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highlight w:val="none"/>
          <w:lang w:val="en-US" w:eastAsia="zh-CN" w:bidi="ar-SA"/>
        </w:rPr>
        <w:t>位于米山镇和陈区镇，具体位置：片区北200米为善养村，西至S331坪曲线，据南坡村300米，南至鸿福苑。片区面积36.5672公顷，共2个项目，项目用地面积34.0873公顷，拟征收面积34.0873公顷。</w:t>
      </w:r>
    </w:p>
    <w:p w14:paraId="485ED21A">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highlight w:val="none"/>
          <w:lang w:val="en-US" w:eastAsia="zh-CN" w:bidi="ar-SA"/>
        </w:rPr>
        <w:t>位于米山镇，具体位置：片区位于米东村东南，北至S331坪曲线，西南南至中共高平市委党校，东900米为河东村。片区面积16.8471公顷，项目用地面积2.0440公顷，拟征收面积2.0440公顷，共1个项目。</w:t>
      </w:r>
    </w:p>
    <w:p w14:paraId="7E456D1F">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高铁新区A片区</w:t>
      </w:r>
      <w:r>
        <w:rPr>
          <w:rFonts w:hint="eastAsia" w:ascii="Times New Roman" w:hAnsi="Times New Roman" w:eastAsia="仿宋" w:cs="Times New Roman"/>
          <w:sz w:val="28"/>
          <w:szCs w:val="32"/>
          <w:highlight w:val="none"/>
          <w:lang w:val="en-US" w:eastAsia="zh-CN" w:bidi="ar-SA"/>
        </w:rPr>
        <w:t>位于河西镇，具体位置：片区位于高平东站西北部，西至二淅线，东至山西省高平市凯永生物科技有限公司。片区面积1.9136公顷，共1个项目，项目用地面积0.3405公顷，拟征收面积0.3405公顷。</w:t>
      </w:r>
    </w:p>
    <w:p w14:paraId="162CEF2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w:t>
      </w:r>
      <w:r>
        <w:rPr>
          <w:rFonts w:hint="eastAsia" w:ascii="Times New Roman" w:hAnsi="Times New Roman" w:eastAsia="仿宋" w:cs="Times New Roman"/>
          <w:sz w:val="28"/>
          <w:szCs w:val="32"/>
          <w:highlight w:val="none"/>
          <w:lang w:val="en-US" w:eastAsia="zh-CN" w:bidi="ar-SA"/>
        </w:rPr>
        <w:t>位于河西镇，具体位置：片区位于位于北苏庄东北部，龙司线东侧。片区面积3.1105公顷，共1个项目，项目用地面积2.6647公顷，拟征收面积2.6647公顷。</w:t>
      </w:r>
    </w:p>
    <w:p w14:paraId="2D6DD84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highlight w:val="none"/>
          <w:lang w:val="en-US" w:eastAsia="zh-CN" w:bidi="ar-SA"/>
        </w:rPr>
        <w:t>位于河西镇，具体位置：片区位于位于北苏庄中南部，龙司线西侧。片区面积1.0053公顷，共1个项目，项目用地面积0.1527公顷，拟征收面积0.1527公顷。</w:t>
      </w:r>
    </w:p>
    <w:p w14:paraId="0B1FC0E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highlight w:val="none"/>
          <w:lang w:val="en-US" w:eastAsia="zh-CN" w:bidi="ar-SA"/>
        </w:rPr>
        <w:t>位于南城街道办，具体位置：片区位于太行润源食品有限公司北，西至S227，南800米为向阳村，东350米为铁路线。片区面积2.1951公顷，共1个项目，项目用地面积2.1951公顷，拟征收面积2.1951公顷。</w:t>
      </w:r>
    </w:p>
    <w:p w14:paraId="398FB6F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sz w:val="21"/>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highlight w:val="none"/>
          <w:lang w:val="en-US" w:eastAsia="zh-CN" w:bidi="ar-SA"/>
        </w:rPr>
        <w:t>位于建宁乡，具体位置：片区位于位于郭庄东800米，西至兴宁路，南300米为S331。片区面积0.2077公顷，共1个项目，项目用地面积0.2077公顷，拟征收面积0.2077公顷。</w:t>
      </w:r>
    </w:p>
    <w:p w14:paraId="7690B4C3">
      <w:pPr>
        <w:pStyle w:val="3"/>
        <w:numPr>
          <w:ilvl w:val="1"/>
          <w:numId w:val="0"/>
        </w:numPr>
        <w:tabs>
          <w:tab w:val="clear" w:pos="420"/>
        </w:tabs>
        <w:bidi w:val="0"/>
        <w:ind w:left="575" w:leftChars="0" w:hanging="575" w:firstLineChars="0"/>
        <w:rPr>
          <w:rFonts w:hint="default"/>
          <w:sz w:val="32"/>
          <w:szCs w:val="32"/>
          <w:highlight w:val="none"/>
        </w:rPr>
      </w:pPr>
      <w:bookmarkStart w:id="15" w:name="_Toc7351"/>
      <w:r>
        <w:rPr>
          <w:rFonts w:hint="eastAsia" w:ascii="Times New Roman" w:hAnsi="Times New Roman" w:eastAsia="仿宋" w:cs="Times New Roman"/>
          <w:b/>
          <w:bCs/>
          <w:kern w:val="2"/>
          <w:sz w:val="32"/>
          <w:szCs w:val="32"/>
          <w:highlight w:val="none"/>
          <w:lang w:val="en-US" w:eastAsia="zh-CN"/>
        </w:rPr>
        <w:t>2.3.</w:t>
      </w:r>
      <w:r>
        <w:rPr>
          <w:rFonts w:hint="default"/>
          <w:sz w:val="32"/>
          <w:szCs w:val="32"/>
          <w:highlight w:val="none"/>
        </w:rPr>
        <w:t>土地利用现状情况</w:t>
      </w:r>
      <w:bookmarkEnd w:id="15"/>
    </w:p>
    <w:p w14:paraId="25972A4A">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highlight w:val="none"/>
          <w:lang w:val="en-US" w:eastAsia="zh-CN" w:bidi="ar-SA"/>
        </w:rPr>
      </w:pPr>
      <w:bookmarkStart w:id="16" w:name="_Toc11093"/>
      <w:r>
        <w:rPr>
          <w:rFonts w:hint="eastAsia" w:ascii="Times New Roman" w:hAnsi="Times New Roman" w:eastAsia="仿宋" w:cs="Times New Roman"/>
          <w:b/>
          <w:bCs/>
          <w:kern w:val="2"/>
          <w:sz w:val="28"/>
          <w:szCs w:val="32"/>
          <w:highlight w:val="none"/>
          <w:lang w:val="en-US" w:eastAsia="zh-CN" w:bidi="ar-SA"/>
        </w:rPr>
        <w:t>2.3.1.</w:t>
      </w:r>
      <w:r>
        <w:rPr>
          <w:rFonts w:hint="default" w:ascii="Times New Roman" w:hAnsi="Times New Roman" w:eastAsia="仿宋" w:cs="Times New Roman"/>
          <w:b/>
          <w:bCs/>
          <w:kern w:val="2"/>
          <w:sz w:val="28"/>
          <w:szCs w:val="32"/>
          <w:highlight w:val="none"/>
          <w:lang w:val="en-US" w:eastAsia="zh-CN" w:bidi="ar-SA"/>
        </w:rPr>
        <w:t>片区范围土地利用现状</w:t>
      </w:r>
      <w:bookmarkEnd w:id="16"/>
    </w:p>
    <w:p w14:paraId="4AB625A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32"/>
          <w:highlight w:val="none"/>
          <w:lang w:val="en-US" w:eastAsia="zh-CN" w:bidi="ar-SA"/>
        </w:rPr>
        <w:t>依据</w:t>
      </w:r>
      <w:r>
        <w:rPr>
          <w:rFonts w:hint="eastAsia" w:ascii="Times New Roman" w:hAnsi="Times New Roman" w:eastAsia="仿宋" w:cs="Times New Roman"/>
          <w:sz w:val="28"/>
          <w:szCs w:val="28"/>
          <w:highlight w:val="none"/>
          <w:lang w:val="en-US" w:eastAsia="zh-CN" w:bidi="ar-SA"/>
        </w:rPr>
        <w:t>高平市2023年度国土变更调查数据</w:t>
      </w:r>
      <w:r>
        <w:rPr>
          <w:rFonts w:hint="default" w:ascii="Times New Roman" w:hAnsi="Times New Roman" w:eastAsia="仿宋" w:cs="Times New Roman"/>
          <w:sz w:val="28"/>
          <w:szCs w:val="32"/>
          <w:highlight w:val="none"/>
          <w:lang w:val="en-US" w:eastAsia="zh-CN" w:bidi="ar-SA"/>
        </w:rPr>
        <w:t>，本方案片区总面积为</w:t>
      </w:r>
      <w:r>
        <w:rPr>
          <w:rFonts w:hint="eastAsia" w:ascii="Times New Roman" w:hAnsi="Times New Roman" w:eastAsia="仿宋" w:cs="Times New Roman"/>
          <w:sz w:val="28"/>
          <w:szCs w:val="32"/>
          <w:highlight w:val="none"/>
          <w:lang w:val="en-US" w:eastAsia="zh-CN" w:bidi="ar-SA"/>
        </w:rPr>
        <w:t>66.0992</w:t>
      </w:r>
      <w:r>
        <w:rPr>
          <w:rFonts w:hint="default" w:ascii="Times New Roman" w:hAnsi="Times New Roman" w:eastAsia="仿宋" w:cs="Times New Roman"/>
          <w:sz w:val="28"/>
          <w:szCs w:val="32"/>
          <w:highlight w:val="none"/>
          <w:lang w:val="en-US" w:eastAsia="zh-CN" w:bidi="ar-SA"/>
        </w:rPr>
        <w:t>公顷，其中农用地</w:t>
      </w:r>
      <w:r>
        <w:rPr>
          <w:rFonts w:hint="eastAsia" w:ascii="Times New Roman" w:hAnsi="Times New Roman" w:eastAsia="仿宋" w:cs="Times New Roman"/>
          <w:sz w:val="28"/>
          <w:szCs w:val="32"/>
          <w:highlight w:val="none"/>
          <w:lang w:val="en-US" w:eastAsia="zh-CN" w:bidi="ar-SA"/>
        </w:rPr>
        <w:t>40.1870</w:t>
      </w:r>
      <w:r>
        <w:rPr>
          <w:rFonts w:hint="default" w:ascii="Times New Roman" w:hAnsi="Times New Roman" w:eastAsia="仿宋" w:cs="Times New Roman"/>
          <w:sz w:val="28"/>
          <w:szCs w:val="32"/>
          <w:highlight w:val="none"/>
          <w:lang w:val="en-US" w:eastAsia="zh-CN" w:bidi="ar-SA"/>
        </w:rPr>
        <w:t>公顷（含耕地</w:t>
      </w:r>
      <w:r>
        <w:rPr>
          <w:rFonts w:hint="eastAsia" w:ascii="Times New Roman" w:hAnsi="Times New Roman" w:eastAsia="仿宋" w:cs="Times New Roman"/>
          <w:sz w:val="28"/>
          <w:szCs w:val="32"/>
          <w:highlight w:val="none"/>
          <w:lang w:val="en-US" w:eastAsia="zh-CN" w:bidi="ar-SA"/>
        </w:rPr>
        <w:t>38.0881</w:t>
      </w:r>
      <w:r>
        <w:rPr>
          <w:rFonts w:hint="default" w:ascii="Times New Roman" w:hAnsi="Times New Roman" w:eastAsia="仿宋" w:cs="Times New Roman"/>
          <w:sz w:val="28"/>
          <w:szCs w:val="32"/>
          <w:highlight w:val="none"/>
          <w:lang w:val="en-US" w:eastAsia="zh-CN" w:bidi="ar-SA"/>
        </w:rPr>
        <w:t>公顷、园地</w:t>
      </w:r>
      <w:r>
        <w:rPr>
          <w:rFonts w:hint="eastAsia" w:ascii="Times New Roman" w:hAnsi="Times New Roman" w:eastAsia="仿宋" w:cs="Times New Roman"/>
          <w:sz w:val="28"/>
          <w:szCs w:val="32"/>
          <w:highlight w:val="none"/>
          <w:lang w:val="en-US" w:eastAsia="zh-CN" w:bidi="ar-SA"/>
        </w:rPr>
        <w:t>1.0600</w:t>
      </w:r>
      <w:r>
        <w:rPr>
          <w:rFonts w:hint="default" w:ascii="Times New Roman" w:hAnsi="Times New Roman" w:eastAsia="仿宋" w:cs="Times New Roman"/>
          <w:sz w:val="28"/>
          <w:szCs w:val="32"/>
          <w:highlight w:val="none"/>
          <w:lang w:val="en-US" w:eastAsia="zh-CN" w:bidi="ar-SA"/>
        </w:rPr>
        <w:t>公顷、林地</w:t>
      </w:r>
      <w:r>
        <w:rPr>
          <w:rFonts w:hint="eastAsia" w:ascii="Times New Roman" w:hAnsi="Times New Roman" w:eastAsia="仿宋" w:cs="Times New Roman"/>
          <w:sz w:val="28"/>
          <w:szCs w:val="32"/>
          <w:highlight w:val="none"/>
          <w:lang w:val="en-US" w:eastAsia="zh-CN" w:bidi="ar-SA"/>
        </w:rPr>
        <w:t>0.3801</w:t>
      </w:r>
      <w:r>
        <w:rPr>
          <w:rFonts w:hint="default" w:ascii="Times New Roman" w:hAnsi="Times New Roman" w:eastAsia="仿宋" w:cs="Times New Roman"/>
          <w:sz w:val="28"/>
          <w:szCs w:val="32"/>
          <w:highlight w:val="none"/>
          <w:lang w:val="en-US" w:eastAsia="zh-CN" w:bidi="ar-SA"/>
        </w:rPr>
        <w:t>公顷、</w:t>
      </w:r>
      <w:r>
        <w:rPr>
          <w:rFonts w:hint="eastAsia" w:ascii="Times New Roman" w:hAnsi="Times New Roman" w:eastAsia="仿宋" w:cs="Times New Roman"/>
          <w:sz w:val="28"/>
          <w:szCs w:val="32"/>
          <w:highlight w:val="none"/>
          <w:lang w:val="en-US" w:eastAsia="zh-CN" w:bidi="ar-SA"/>
        </w:rPr>
        <w:t>草地0.0308公顷、交通运输用地0.5760公顷、</w:t>
      </w:r>
      <w:r>
        <w:rPr>
          <w:rFonts w:hint="default" w:ascii="Times New Roman" w:hAnsi="Times New Roman" w:eastAsia="仿宋" w:cs="Times New Roman"/>
          <w:sz w:val="28"/>
          <w:szCs w:val="32"/>
          <w:highlight w:val="none"/>
          <w:lang w:val="en-US" w:eastAsia="zh-CN" w:bidi="ar-SA"/>
        </w:rPr>
        <w:t>其他农用地</w:t>
      </w:r>
      <w:r>
        <w:rPr>
          <w:rFonts w:hint="eastAsia" w:ascii="Times New Roman" w:hAnsi="Times New Roman" w:eastAsia="仿宋" w:cs="Times New Roman"/>
          <w:sz w:val="28"/>
          <w:szCs w:val="32"/>
          <w:highlight w:val="none"/>
          <w:lang w:val="en-US" w:eastAsia="zh-CN" w:bidi="ar-SA"/>
        </w:rPr>
        <w:t>0.0521</w:t>
      </w:r>
      <w:r>
        <w:rPr>
          <w:rFonts w:hint="default" w:ascii="Times New Roman" w:hAnsi="Times New Roman" w:eastAsia="仿宋" w:cs="Times New Roman"/>
          <w:sz w:val="28"/>
          <w:szCs w:val="32"/>
          <w:highlight w:val="none"/>
          <w:lang w:val="en-US" w:eastAsia="zh-CN" w:bidi="ar-SA"/>
        </w:rPr>
        <w:t>公顷），建设用地</w:t>
      </w:r>
      <w:r>
        <w:rPr>
          <w:rFonts w:hint="eastAsia" w:ascii="Times New Roman" w:hAnsi="Times New Roman" w:eastAsia="仿宋" w:cs="Times New Roman"/>
          <w:sz w:val="28"/>
          <w:szCs w:val="32"/>
          <w:highlight w:val="none"/>
          <w:lang w:val="en-US" w:eastAsia="zh-CN" w:bidi="ar-SA"/>
        </w:rPr>
        <w:t>25.8731</w:t>
      </w:r>
      <w:r>
        <w:rPr>
          <w:rFonts w:hint="default" w:ascii="Times New Roman" w:hAnsi="Times New Roman" w:eastAsia="仿宋" w:cs="Times New Roman"/>
          <w:sz w:val="28"/>
          <w:szCs w:val="32"/>
          <w:highlight w:val="none"/>
          <w:lang w:val="en-US" w:eastAsia="zh-CN" w:bidi="ar-SA"/>
        </w:rPr>
        <w:t>公顷，未利用地</w:t>
      </w:r>
      <w:r>
        <w:rPr>
          <w:rFonts w:hint="eastAsia" w:ascii="Times New Roman" w:hAnsi="Times New Roman" w:eastAsia="仿宋" w:cs="Times New Roman"/>
          <w:sz w:val="28"/>
          <w:szCs w:val="32"/>
          <w:highlight w:val="none"/>
          <w:lang w:val="en-US" w:eastAsia="zh-CN" w:bidi="ar-SA"/>
        </w:rPr>
        <w:t>0.0391</w:t>
      </w:r>
      <w:r>
        <w:rPr>
          <w:rFonts w:hint="default" w:ascii="Times New Roman" w:hAnsi="Times New Roman" w:eastAsia="仿宋" w:cs="Times New Roman"/>
          <w:sz w:val="28"/>
          <w:szCs w:val="32"/>
          <w:highlight w:val="none"/>
          <w:lang w:val="en-US" w:eastAsia="zh-CN" w:bidi="ar-SA"/>
        </w:rPr>
        <w:t>公顷。</w:t>
      </w:r>
      <w:r>
        <w:rPr>
          <w:rFonts w:hint="default" w:ascii="Times New Roman" w:hAnsi="Times New Roman" w:eastAsia="仿宋" w:cs="Times New Roman"/>
          <w:sz w:val="28"/>
          <w:szCs w:val="28"/>
          <w:highlight w:val="none"/>
          <w:lang w:bidi="ar-SA"/>
        </w:rPr>
        <w:t>见</w:t>
      </w:r>
      <w:r>
        <w:rPr>
          <w:rFonts w:hint="eastAsia" w:ascii="Times New Roman" w:hAnsi="Times New Roman" w:eastAsia="仿宋" w:cs="Times New Roman"/>
          <w:sz w:val="28"/>
          <w:szCs w:val="28"/>
          <w:highlight w:val="none"/>
          <w:lang w:val="en-US" w:eastAsia="zh-CN" w:bidi="ar-SA"/>
        </w:rPr>
        <w:t>下</w:t>
      </w:r>
      <w:r>
        <w:rPr>
          <w:rFonts w:hint="default" w:ascii="Times New Roman" w:hAnsi="Times New Roman" w:eastAsia="仿宋" w:cs="Times New Roman"/>
          <w:sz w:val="28"/>
          <w:szCs w:val="28"/>
          <w:highlight w:val="none"/>
          <w:lang w:bidi="ar-SA"/>
        </w:rPr>
        <w:t>表2-</w:t>
      </w:r>
      <w:r>
        <w:rPr>
          <w:rFonts w:hint="eastAsia" w:ascii="Times New Roman" w:hAnsi="Times New Roman" w:eastAsia="仿宋" w:cs="Times New Roman"/>
          <w:sz w:val="28"/>
          <w:szCs w:val="28"/>
          <w:highlight w:val="none"/>
          <w:lang w:val="en-US" w:eastAsia="zh-CN" w:bidi="ar-SA"/>
        </w:rPr>
        <w:t>2</w:t>
      </w:r>
      <w:r>
        <w:rPr>
          <w:rFonts w:hint="default" w:ascii="Times New Roman" w:hAnsi="Times New Roman" w:eastAsia="仿宋" w:cs="Times New Roman"/>
          <w:sz w:val="28"/>
          <w:szCs w:val="28"/>
          <w:highlight w:val="none"/>
          <w:lang w:bidi="ar-SA"/>
        </w:rPr>
        <w:t>。</w:t>
      </w:r>
    </w:p>
    <w:p w14:paraId="06ABB6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表2-2 片区土地利用现状统计表</w:t>
      </w:r>
      <w:r>
        <w:rPr>
          <w:rFonts w:hint="default" w:ascii="Times New Roman" w:hAnsi="Times New Roman" w:eastAsia="仿宋" w:cs="Times New Roman"/>
          <w:sz w:val="24"/>
          <w:szCs w:val="24"/>
          <w:highlight w:val="none"/>
          <w:lang w:val="en-US" w:eastAsia="zh-CN" w:bidi="ar-SA"/>
        </w:rPr>
        <w:t xml:space="preserve">         </w:t>
      </w:r>
    </w:p>
    <w:p w14:paraId="64EE35DF">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 xml:space="preserve">                                           单位：公顷、%</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3"/>
        <w:gridCol w:w="2544"/>
        <w:gridCol w:w="2551"/>
        <w:gridCol w:w="1190"/>
        <w:gridCol w:w="961"/>
      </w:tblGrid>
      <w:tr w14:paraId="7B0D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737" w:type="pct"/>
            <w:gridSpan w:val="3"/>
            <w:shd w:val="clear" w:color="auto" w:fill="auto"/>
            <w:noWrap/>
            <w:vAlign w:val="bottom"/>
          </w:tcPr>
          <w:p w14:paraId="2D76FE77">
            <w:pPr>
              <w:jc w:val="center"/>
              <w:rPr>
                <w:rFonts w:hint="default"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现状地类</w:t>
            </w:r>
          </w:p>
        </w:tc>
        <w:tc>
          <w:tcPr>
            <w:tcW w:w="1262" w:type="pct"/>
            <w:gridSpan w:val="2"/>
            <w:shd w:val="clear" w:color="auto" w:fill="auto"/>
            <w:noWrap/>
            <w:vAlign w:val="bottom"/>
          </w:tcPr>
          <w:p w14:paraId="30BD4D9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片区面积</w:t>
            </w:r>
          </w:p>
        </w:tc>
      </w:tr>
      <w:tr w14:paraId="3C3A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shd w:val="clear" w:color="auto" w:fill="auto"/>
            <w:noWrap/>
            <w:vAlign w:val="bottom"/>
          </w:tcPr>
          <w:p w14:paraId="67C01DB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三大类</w:t>
            </w:r>
          </w:p>
        </w:tc>
        <w:tc>
          <w:tcPr>
            <w:tcW w:w="1493" w:type="pct"/>
            <w:shd w:val="clear" w:color="auto" w:fill="auto"/>
            <w:noWrap/>
            <w:vAlign w:val="center"/>
          </w:tcPr>
          <w:p w14:paraId="280E98D8">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一级类</w:t>
            </w:r>
          </w:p>
        </w:tc>
        <w:tc>
          <w:tcPr>
            <w:tcW w:w="1497" w:type="pct"/>
            <w:shd w:val="clear" w:color="auto" w:fill="auto"/>
            <w:noWrap/>
            <w:vAlign w:val="center"/>
          </w:tcPr>
          <w:p w14:paraId="74EC4FE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二级类</w:t>
            </w:r>
          </w:p>
        </w:tc>
        <w:tc>
          <w:tcPr>
            <w:tcW w:w="698" w:type="pct"/>
            <w:shd w:val="clear" w:color="auto" w:fill="auto"/>
            <w:noWrap/>
            <w:vAlign w:val="center"/>
          </w:tcPr>
          <w:p w14:paraId="1C3416C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面积</w:t>
            </w:r>
          </w:p>
        </w:tc>
        <w:tc>
          <w:tcPr>
            <w:tcW w:w="564" w:type="pct"/>
            <w:shd w:val="clear" w:color="auto" w:fill="auto"/>
            <w:noWrap/>
            <w:vAlign w:val="bottom"/>
          </w:tcPr>
          <w:p w14:paraId="26BAEEBA">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比例</w:t>
            </w:r>
          </w:p>
        </w:tc>
      </w:tr>
      <w:tr w14:paraId="568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restart"/>
            <w:shd w:val="clear" w:color="auto" w:fill="auto"/>
            <w:noWrap/>
            <w:vAlign w:val="center"/>
          </w:tcPr>
          <w:p w14:paraId="168EA032">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农用地</w:t>
            </w:r>
          </w:p>
        </w:tc>
        <w:tc>
          <w:tcPr>
            <w:tcW w:w="1493" w:type="pct"/>
            <w:shd w:val="clear" w:color="auto" w:fill="auto"/>
            <w:noWrap/>
            <w:vAlign w:val="center"/>
          </w:tcPr>
          <w:p w14:paraId="1090719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耕地</w:t>
            </w:r>
          </w:p>
        </w:tc>
        <w:tc>
          <w:tcPr>
            <w:tcW w:w="1497" w:type="pct"/>
            <w:shd w:val="clear" w:color="auto" w:fill="auto"/>
            <w:noWrap/>
            <w:vAlign w:val="center"/>
          </w:tcPr>
          <w:p w14:paraId="6CEC146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旱地</w:t>
            </w:r>
          </w:p>
        </w:tc>
        <w:tc>
          <w:tcPr>
            <w:tcW w:w="698" w:type="pct"/>
            <w:shd w:val="clear" w:color="auto" w:fill="auto"/>
            <w:noWrap/>
            <w:vAlign w:val="center"/>
          </w:tcPr>
          <w:p w14:paraId="6D1D4D6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38.0881 </w:t>
            </w:r>
          </w:p>
        </w:tc>
        <w:tc>
          <w:tcPr>
            <w:tcW w:w="564" w:type="pct"/>
            <w:shd w:val="clear" w:color="auto" w:fill="auto"/>
            <w:noWrap/>
            <w:vAlign w:val="bottom"/>
          </w:tcPr>
          <w:p w14:paraId="4E975440">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57.62 </w:t>
            </w:r>
          </w:p>
        </w:tc>
      </w:tr>
      <w:tr w14:paraId="1C95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26F53743">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4B34188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种植园用地</w:t>
            </w:r>
          </w:p>
        </w:tc>
        <w:tc>
          <w:tcPr>
            <w:tcW w:w="1497" w:type="pct"/>
            <w:shd w:val="clear" w:color="auto" w:fill="auto"/>
            <w:noWrap/>
            <w:vAlign w:val="center"/>
          </w:tcPr>
          <w:p w14:paraId="3CE1212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果园</w:t>
            </w:r>
          </w:p>
        </w:tc>
        <w:tc>
          <w:tcPr>
            <w:tcW w:w="698" w:type="pct"/>
            <w:shd w:val="clear" w:color="auto" w:fill="auto"/>
            <w:noWrap/>
            <w:vAlign w:val="center"/>
          </w:tcPr>
          <w:p w14:paraId="34614F63">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1.0600 </w:t>
            </w:r>
          </w:p>
        </w:tc>
        <w:tc>
          <w:tcPr>
            <w:tcW w:w="564" w:type="pct"/>
            <w:shd w:val="clear" w:color="auto" w:fill="auto"/>
            <w:noWrap/>
            <w:vAlign w:val="bottom"/>
          </w:tcPr>
          <w:p w14:paraId="3CDA9C7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1.60 </w:t>
            </w:r>
          </w:p>
        </w:tc>
      </w:tr>
      <w:tr w14:paraId="50A0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618CF2CF">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2E4FBD6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林地</w:t>
            </w:r>
          </w:p>
        </w:tc>
        <w:tc>
          <w:tcPr>
            <w:tcW w:w="1497" w:type="pct"/>
            <w:shd w:val="clear" w:color="auto" w:fill="auto"/>
            <w:noWrap/>
            <w:vAlign w:val="center"/>
          </w:tcPr>
          <w:p w14:paraId="2AEA02D8">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乔木林地</w:t>
            </w:r>
          </w:p>
        </w:tc>
        <w:tc>
          <w:tcPr>
            <w:tcW w:w="698" w:type="pct"/>
            <w:shd w:val="clear" w:color="auto" w:fill="auto"/>
            <w:noWrap/>
            <w:vAlign w:val="center"/>
          </w:tcPr>
          <w:p w14:paraId="19E9ED41">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0.1613 </w:t>
            </w:r>
          </w:p>
        </w:tc>
        <w:tc>
          <w:tcPr>
            <w:tcW w:w="564" w:type="pct"/>
            <w:shd w:val="clear" w:color="auto" w:fill="auto"/>
            <w:noWrap/>
            <w:vAlign w:val="bottom"/>
          </w:tcPr>
          <w:p w14:paraId="1249AB16">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0.24 </w:t>
            </w:r>
          </w:p>
        </w:tc>
      </w:tr>
      <w:tr w14:paraId="5B7C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00EA161D">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3031E35C">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43F8C49B">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其他林地</w:t>
            </w:r>
          </w:p>
        </w:tc>
        <w:tc>
          <w:tcPr>
            <w:tcW w:w="698" w:type="pct"/>
            <w:shd w:val="clear" w:color="auto" w:fill="auto"/>
            <w:noWrap/>
            <w:vAlign w:val="center"/>
          </w:tcPr>
          <w:p w14:paraId="2A01D7B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0.2188 </w:t>
            </w:r>
          </w:p>
        </w:tc>
        <w:tc>
          <w:tcPr>
            <w:tcW w:w="564" w:type="pct"/>
            <w:shd w:val="clear" w:color="auto" w:fill="auto"/>
            <w:noWrap/>
            <w:vAlign w:val="bottom"/>
          </w:tcPr>
          <w:p w14:paraId="0EB1D9E7">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0.33 </w:t>
            </w:r>
          </w:p>
        </w:tc>
      </w:tr>
      <w:tr w14:paraId="45EB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pct"/>
            <w:vMerge w:val="continue"/>
            <w:shd w:val="clear" w:color="auto" w:fill="auto"/>
            <w:noWrap/>
            <w:vAlign w:val="center"/>
          </w:tcPr>
          <w:p w14:paraId="67DD573A">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0E7FC2B2">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草地</w:t>
            </w:r>
          </w:p>
        </w:tc>
        <w:tc>
          <w:tcPr>
            <w:tcW w:w="1497" w:type="pct"/>
            <w:shd w:val="clear" w:color="auto" w:fill="auto"/>
            <w:noWrap/>
            <w:vAlign w:val="center"/>
          </w:tcPr>
          <w:p w14:paraId="760983F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其他草地</w:t>
            </w:r>
          </w:p>
        </w:tc>
        <w:tc>
          <w:tcPr>
            <w:tcW w:w="698" w:type="pct"/>
            <w:shd w:val="clear" w:color="auto" w:fill="auto"/>
            <w:noWrap/>
            <w:vAlign w:val="center"/>
          </w:tcPr>
          <w:p w14:paraId="7156EF5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0.0308 </w:t>
            </w:r>
          </w:p>
        </w:tc>
        <w:tc>
          <w:tcPr>
            <w:tcW w:w="564" w:type="pct"/>
            <w:shd w:val="clear" w:color="auto" w:fill="auto"/>
            <w:noWrap/>
            <w:vAlign w:val="bottom"/>
          </w:tcPr>
          <w:p w14:paraId="68ACDE3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0.05 </w:t>
            </w:r>
          </w:p>
        </w:tc>
      </w:tr>
      <w:tr w14:paraId="6EBC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71B47807">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7829C89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交通运输用地</w:t>
            </w:r>
          </w:p>
        </w:tc>
        <w:tc>
          <w:tcPr>
            <w:tcW w:w="1497" w:type="pct"/>
            <w:shd w:val="clear" w:color="auto" w:fill="auto"/>
            <w:noWrap/>
            <w:vAlign w:val="center"/>
          </w:tcPr>
          <w:p w14:paraId="7D40A26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农村道路</w:t>
            </w:r>
          </w:p>
        </w:tc>
        <w:tc>
          <w:tcPr>
            <w:tcW w:w="698" w:type="pct"/>
            <w:shd w:val="clear" w:color="auto" w:fill="auto"/>
            <w:noWrap/>
            <w:vAlign w:val="center"/>
          </w:tcPr>
          <w:p w14:paraId="75B1CC1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0.5760 </w:t>
            </w:r>
          </w:p>
        </w:tc>
        <w:tc>
          <w:tcPr>
            <w:tcW w:w="564" w:type="pct"/>
            <w:shd w:val="clear" w:color="auto" w:fill="auto"/>
            <w:noWrap/>
            <w:vAlign w:val="bottom"/>
          </w:tcPr>
          <w:p w14:paraId="6CFDA975">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0.87 </w:t>
            </w:r>
          </w:p>
        </w:tc>
      </w:tr>
      <w:tr w14:paraId="14F1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4F2B754E">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297C2C9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其他土地</w:t>
            </w:r>
          </w:p>
        </w:tc>
        <w:tc>
          <w:tcPr>
            <w:tcW w:w="1497" w:type="pct"/>
            <w:shd w:val="clear" w:color="auto" w:fill="auto"/>
            <w:noWrap/>
            <w:vAlign w:val="center"/>
          </w:tcPr>
          <w:p w14:paraId="6D2BF27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设施农用地</w:t>
            </w:r>
          </w:p>
        </w:tc>
        <w:tc>
          <w:tcPr>
            <w:tcW w:w="698" w:type="pct"/>
            <w:shd w:val="clear" w:color="auto" w:fill="auto"/>
            <w:noWrap/>
            <w:vAlign w:val="center"/>
          </w:tcPr>
          <w:p w14:paraId="4712F3D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0.0521 </w:t>
            </w:r>
          </w:p>
        </w:tc>
        <w:tc>
          <w:tcPr>
            <w:tcW w:w="564" w:type="pct"/>
            <w:shd w:val="clear" w:color="auto" w:fill="auto"/>
            <w:noWrap/>
            <w:vAlign w:val="bottom"/>
          </w:tcPr>
          <w:p w14:paraId="6445E03C">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0.08 </w:t>
            </w:r>
          </w:p>
        </w:tc>
      </w:tr>
      <w:tr w14:paraId="57B6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048D8B65">
            <w:pPr>
              <w:jc w:val="center"/>
              <w:rPr>
                <w:rFonts w:hint="default" w:ascii="Times New Roman" w:hAnsi="Times New Roman" w:eastAsia="仿宋" w:cs="Times New Roman"/>
                <w:i w:val="0"/>
                <w:iCs w:val="0"/>
                <w:color w:val="000000"/>
                <w:sz w:val="21"/>
                <w:szCs w:val="21"/>
                <w:u w:val="none"/>
              </w:rPr>
            </w:pPr>
          </w:p>
        </w:tc>
        <w:tc>
          <w:tcPr>
            <w:tcW w:w="2990" w:type="pct"/>
            <w:gridSpan w:val="2"/>
            <w:shd w:val="clear" w:color="auto" w:fill="auto"/>
            <w:noWrap/>
            <w:vAlign w:val="bottom"/>
          </w:tcPr>
          <w:p w14:paraId="650B441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合计</w:t>
            </w:r>
          </w:p>
        </w:tc>
        <w:tc>
          <w:tcPr>
            <w:tcW w:w="698" w:type="pct"/>
            <w:shd w:val="clear" w:color="auto" w:fill="auto"/>
            <w:noWrap/>
            <w:vAlign w:val="center"/>
          </w:tcPr>
          <w:p w14:paraId="27D523B7">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40.1870 </w:t>
            </w:r>
          </w:p>
        </w:tc>
        <w:tc>
          <w:tcPr>
            <w:tcW w:w="564" w:type="pct"/>
            <w:shd w:val="clear" w:color="auto" w:fill="auto"/>
            <w:noWrap/>
            <w:vAlign w:val="bottom"/>
          </w:tcPr>
          <w:p w14:paraId="3960240C">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60.80 </w:t>
            </w:r>
          </w:p>
        </w:tc>
      </w:tr>
      <w:tr w14:paraId="0127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restart"/>
            <w:shd w:val="clear" w:color="auto" w:fill="auto"/>
            <w:noWrap/>
            <w:vAlign w:val="center"/>
          </w:tcPr>
          <w:p w14:paraId="3F67D8A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建设用地</w:t>
            </w:r>
          </w:p>
        </w:tc>
        <w:tc>
          <w:tcPr>
            <w:tcW w:w="1493" w:type="pct"/>
            <w:shd w:val="clear" w:color="auto" w:fill="auto"/>
            <w:noWrap/>
            <w:vAlign w:val="center"/>
          </w:tcPr>
          <w:p w14:paraId="5320403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商业服务业设施用地</w:t>
            </w:r>
          </w:p>
        </w:tc>
        <w:tc>
          <w:tcPr>
            <w:tcW w:w="1497" w:type="pct"/>
            <w:shd w:val="clear" w:color="auto" w:fill="auto"/>
            <w:noWrap/>
            <w:vAlign w:val="center"/>
          </w:tcPr>
          <w:p w14:paraId="7FE089BA">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商业服务业设施用地</w:t>
            </w:r>
          </w:p>
        </w:tc>
        <w:tc>
          <w:tcPr>
            <w:tcW w:w="698" w:type="pct"/>
            <w:shd w:val="clear" w:color="auto" w:fill="auto"/>
            <w:noWrap/>
            <w:vAlign w:val="center"/>
          </w:tcPr>
          <w:p w14:paraId="12AA4B4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1.0535 </w:t>
            </w:r>
          </w:p>
        </w:tc>
        <w:tc>
          <w:tcPr>
            <w:tcW w:w="564" w:type="pct"/>
            <w:shd w:val="clear" w:color="auto" w:fill="auto"/>
            <w:noWrap/>
            <w:vAlign w:val="bottom"/>
          </w:tcPr>
          <w:p w14:paraId="323BF72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1.5</w:t>
            </w:r>
            <w:r>
              <w:rPr>
                <w:rFonts w:hint="eastAsia" w:ascii="Times New Roman" w:hAnsi="Times New Roman" w:eastAsia="仿宋" w:cs="Times New Roman"/>
                <w:i w:val="0"/>
                <w:iCs w:val="0"/>
                <w:color w:val="000000"/>
                <w:sz w:val="21"/>
                <w:szCs w:val="21"/>
                <w:u w:val="none"/>
                <w:lang w:val="en-US" w:eastAsia="zh-CN"/>
              </w:rPr>
              <w:t>8</w:t>
            </w:r>
            <w:r>
              <w:rPr>
                <w:rFonts w:hint="default" w:ascii="Times New Roman" w:hAnsi="Times New Roman" w:eastAsia="仿宋" w:cs="Times New Roman"/>
                <w:i w:val="0"/>
                <w:iCs w:val="0"/>
                <w:color w:val="000000"/>
                <w:sz w:val="21"/>
                <w:szCs w:val="21"/>
                <w:u w:val="none"/>
                <w:lang w:val="en-US" w:eastAsia="zh-CN"/>
              </w:rPr>
              <w:t xml:space="preserve"> </w:t>
            </w:r>
          </w:p>
        </w:tc>
      </w:tr>
      <w:tr w14:paraId="641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23D25F20">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1F7F1092">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10EA9AC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物流仓储用地</w:t>
            </w:r>
          </w:p>
        </w:tc>
        <w:tc>
          <w:tcPr>
            <w:tcW w:w="698" w:type="pct"/>
            <w:shd w:val="clear" w:color="auto" w:fill="auto"/>
            <w:noWrap/>
            <w:vAlign w:val="center"/>
          </w:tcPr>
          <w:p w14:paraId="7DC1C38C">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0.0019 </w:t>
            </w:r>
          </w:p>
        </w:tc>
        <w:tc>
          <w:tcPr>
            <w:tcW w:w="564" w:type="pct"/>
            <w:shd w:val="clear" w:color="auto" w:fill="auto"/>
            <w:noWrap/>
            <w:vAlign w:val="bottom"/>
          </w:tcPr>
          <w:p w14:paraId="0DA71C9C">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0.0</w:t>
            </w:r>
            <w:r>
              <w:rPr>
                <w:rFonts w:hint="eastAsia" w:ascii="Times New Roman" w:hAnsi="Times New Roman" w:eastAsia="仿宋" w:cs="Times New Roman"/>
                <w:i w:val="0"/>
                <w:iCs w:val="0"/>
                <w:color w:val="000000"/>
                <w:sz w:val="21"/>
                <w:szCs w:val="21"/>
                <w:u w:val="none"/>
                <w:lang w:val="en-US" w:eastAsia="zh-CN"/>
              </w:rPr>
              <w:t>1</w:t>
            </w:r>
            <w:r>
              <w:rPr>
                <w:rFonts w:hint="default" w:ascii="Times New Roman" w:hAnsi="Times New Roman" w:eastAsia="仿宋" w:cs="Times New Roman"/>
                <w:i w:val="0"/>
                <w:iCs w:val="0"/>
                <w:color w:val="000000"/>
                <w:sz w:val="21"/>
                <w:szCs w:val="21"/>
                <w:u w:val="none"/>
                <w:lang w:val="en-US" w:eastAsia="zh-CN"/>
              </w:rPr>
              <w:t xml:space="preserve"> </w:t>
            </w:r>
          </w:p>
        </w:tc>
      </w:tr>
      <w:tr w14:paraId="67DF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7" w:type="pct"/>
            <w:vMerge w:val="continue"/>
            <w:shd w:val="clear" w:color="auto" w:fill="auto"/>
            <w:noWrap/>
            <w:vAlign w:val="center"/>
          </w:tcPr>
          <w:p w14:paraId="06494B44">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341A721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工矿用地</w:t>
            </w:r>
          </w:p>
        </w:tc>
        <w:tc>
          <w:tcPr>
            <w:tcW w:w="1497" w:type="pct"/>
            <w:shd w:val="clear" w:color="auto" w:fill="auto"/>
            <w:noWrap/>
            <w:vAlign w:val="center"/>
          </w:tcPr>
          <w:p w14:paraId="4F5A3D8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工业用地</w:t>
            </w:r>
          </w:p>
        </w:tc>
        <w:tc>
          <w:tcPr>
            <w:tcW w:w="698" w:type="pct"/>
            <w:shd w:val="clear" w:color="auto" w:fill="auto"/>
            <w:noWrap/>
            <w:vAlign w:val="center"/>
          </w:tcPr>
          <w:p w14:paraId="745DC81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1.0737 </w:t>
            </w:r>
          </w:p>
        </w:tc>
        <w:tc>
          <w:tcPr>
            <w:tcW w:w="564" w:type="pct"/>
            <w:shd w:val="clear" w:color="auto" w:fill="auto"/>
            <w:noWrap/>
            <w:vAlign w:val="bottom"/>
          </w:tcPr>
          <w:p w14:paraId="47E55AD4">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1.62 </w:t>
            </w:r>
          </w:p>
        </w:tc>
      </w:tr>
      <w:tr w14:paraId="4ACD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41C78EBE">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17EE2C1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居住用地</w:t>
            </w:r>
          </w:p>
        </w:tc>
        <w:tc>
          <w:tcPr>
            <w:tcW w:w="1497" w:type="pct"/>
            <w:shd w:val="clear" w:color="auto" w:fill="auto"/>
            <w:noWrap/>
            <w:vAlign w:val="center"/>
          </w:tcPr>
          <w:p w14:paraId="405732B8">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城镇住宅用地</w:t>
            </w:r>
          </w:p>
        </w:tc>
        <w:tc>
          <w:tcPr>
            <w:tcW w:w="698" w:type="pct"/>
            <w:shd w:val="clear" w:color="auto" w:fill="auto"/>
            <w:noWrap/>
            <w:vAlign w:val="center"/>
          </w:tcPr>
          <w:p w14:paraId="5C289624">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0.0464 </w:t>
            </w:r>
          </w:p>
        </w:tc>
        <w:tc>
          <w:tcPr>
            <w:tcW w:w="564" w:type="pct"/>
            <w:shd w:val="clear" w:color="auto" w:fill="auto"/>
            <w:noWrap/>
            <w:vAlign w:val="bottom"/>
          </w:tcPr>
          <w:p w14:paraId="522566A0">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0.07 </w:t>
            </w:r>
          </w:p>
        </w:tc>
      </w:tr>
      <w:tr w14:paraId="167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136B2E80">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20134336">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0FB2C053">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农村宅基地</w:t>
            </w:r>
          </w:p>
        </w:tc>
        <w:tc>
          <w:tcPr>
            <w:tcW w:w="698" w:type="pct"/>
            <w:shd w:val="clear" w:color="auto" w:fill="auto"/>
            <w:noWrap/>
            <w:vAlign w:val="center"/>
          </w:tcPr>
          <w:p w14:paraId="58E35FCD">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0.2625 </w:t>
            </w:r>
          </w:p>
        </w:tc>
        <w:tc>
          <w:tcPr>
            <w:tcW w:w="564" w:type="pct"/>
            <w:shd w:val="clear" w:color="auto" w:fill="auto"/>
            <w:noWrap/>
            <w:vAlign w:val="bottom"/>
          </w:tcPr>
          <w:p w14:paraId="7EBF5C68">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0.40 </w:t>
            </w:r>
          </w:p>
        </w:tc>
      </w:tr>
      <w:tr w14:paraId="6060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5E09FA60">
            <w:pPr>
              <w:jc w:val="center"/>
              <w:rPr>
                <w:rFonts w:hint="default" w:ascii="Times New Roman" w:hAnsi="Times New Roman" w:eastAsia="仿宋" w:cs="Times New Roman"/>
                <w:i w:val="0"/>
                <w:iCs w:val="0"/>
                <w:color w:val="000000"/>
                <w:sz w:val="21"/>
                <w:szCs w:val="21"/>
                <w:u w:val="none"/>
              </w:rPr>
            </w:pPr>
          </w:p>
        </w:tc>
        <w:tc>
          <w:tcPr>
            <w:tcW w:w="1493" w:type="pct"/>
            <w:shd w:val="clear" w:color="auto" w:fill="auto"/>
            <w:noWrap/>
            <w:vAlign w:val="center"/>
          </w:tcPr>
          <w:p w14:paraId="295136AB">
            <w:pPr>
              <w:jc w:val="center"/>
              <w:rPr>
                <w:rFonts w:hint="default"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公共管理与公共服务用地</w:t>
            </w:r>
          </w:p>
        </w:tc>
        <w:tc>
          <w:tcPr>
            <w:tcW w:w="1497" w:type="pct"/>
            <w:shd w:val="clear" w:color="auto" w:fill="auto"/>
            <w:noWrap/>
            <w:vAlign w:val="center"/>
          </w:tcPr>
          <w:p w14:paraId="47BFC7FE">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科教文卫用地</w:t>
            </w:r>
          </w:p>
        </w:tc>
        <w:tc>
          <w:tcPr>
            <w:tcW w:w="698" w:type="pct"/>
            <w:shd w:val="clear" w:color="auto" w:fill="auto"/>
            <w:noWrap/>
            <w:vAlign w:val="center"/>
          </w:tcPr>
          <w:p w14:paraId="5994C806">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8.5155 </w:t>
            </w:r>
          </w:p>
        </w:tc>
        <w:tc>
          <w:tcPr>
            <w:tcW w:w="564" w:type="pct"/>
            <w:shd w:val="clear" w:color="auto" w:fill="auto"/>
            <w:noWrap/>
            <w:vAlign w:val="bottom"/>
          </w:tcPr>
          <w:p w14:paraId="5B266CCE">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12.88 </w:t>
            </w:r>
          </w:p>
        </w:tc>
      </w:tr>
      <w:tr w14:paraId="24D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70909AD9">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6396E02B">
            <w:pPr>
              <w:jc w:val="center"/>
              <w:rPr>
                <w:rFonts w:hint="default"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绿地与开敞空间用地</w:t>
            </w:r>
          </w:p>
        </w:tc>
        <w:tc>
          <w:tcPr>
            <w:tcW w:w="1497" w:type="pct"/>
            <w:shd w:val="clear" w:color="auto" w:fill="auto"/>
            <w:noWrap/>
            <w:vAlign w:val="center"/>
          </w:tcPr>
          <w:p w14:paraId="4F17DC0B">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公园与绿地</w:t>
            </w:r>
          </w:p>
        </w:tc>
        <w:tc>
          <w:tcPr>
            <w:tcW w:w="698" w:type="pct"/>
            <w:shd w:val="clear" w:color="auto" w:fill="auto"/>
            <w:noWrap/>
            <w:vAlign w:val="center"/>
          </w:tcPr>
          <w:p w14:paraId="4013D9D9">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1.9282 </w:t>
            </w:r>
          </w:p>
        </w:tc>
        <w:tc>
          <w:tcPr>
            <w:tcW w:w="564" w:type="pct"/>
            <w:shd w:val="clear" w:color="auto" w:fill="auto"/>
            <w:noWrap/>
            <w:vAlign w:val="bottom"/>
          </w:tcPr>
          <w:p w14:paraId="114068CF">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2.92 </w:t>
            </w:r>
          </w:p>
        </w:tc>
      </w:tr>
      <w:tr w14:paraId="3372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41634493">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32F25C78">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3C05D5FA">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广场用地</w:t>
            </w:r>
          </w:p>
        </w:tc>
        <w:tc>
          <w:tcPr>
            <w:tcW w:w="698" w:type="pct"/>
            <w:shd w:val="clear" w:color="auto" w:fill="auto"/>
            <w:noWrap/>
            <w:vAlign w:val="center"/>
          </w:tcPr>
          <w:p w14:paraId="28D2A67B">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0.8596 </w:t>
            </w:r>
          </w:p>
        </w:tc>
        <w:tc>
          <w:tcPr>
            <w:tcW w:w="564" w:type="pct"/>
            <w:shd w:val="clear" w:color="auto" w:fill="auto"/>
            <w:noWrap/>
            <w:vAlign w:val="bottom"/>
          </w:tcPr>
          <w:p w14:paraId="6C20A609">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1.30 </w:t>
            </w:r>
          </w:p>
        </w:tc>
      </w:tr>
      <w:tr w14:paraId="2558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3E0AB20E">
            <w:pPr>
              <w:jc w:val="center"/>
              <w:rPr>
                <w:rFonts w:hint="default" w:ascii="Times New Roman" w:hAnsi="Times New Roman" w:eastAsia="仿宋" w:cs="Times New Roman"/>
                <w:i w:val="0"/>
                <w:iCs w:val="0"/>
                <w:color w:val="000000"/>
                <w:sz w:val="21"/>
                <w:szCs w:val="21"/>
                <w:u w:val="none"/>
              </w:rPr>
            </w:pPr>
          </w:p>
        </w:tc>
        <w:tc>
          <w:tcPr>
            <w:tcW w:w="1493" w:type="pct"/>
            <w:vMerge w:val="restart"/>
            <w:shd w:val="clear" w:color="auto" w:fill="auto"/>
            <w:noWrap/>
            <w:vAlign w:val="center"/>
          </w:tcPr>
          <w:p w14:paraId="5EB425DF">
            <w:pPr>
              <w:jc w:val="center"/>
              <w:rPr>
                <w:rFonts w:hint="default"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交通运输用地</w:t>
            </w:r>
          </w:p>
        </w:tc>
        <w:tc>
          <w:tcPr>
            <w:tcW w:w="1497" w:type="pct"/>
            <w:shd w:val="clear" w:color="auto" w:fill="auto"/>
            <w:noWrap/>
            <w:vAlign w:val="center"/>
          </w:tcPr>
          <w:p w14:paraId="7111EDB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公路用地</w:t>
            </w:r>
          </w:p>
        </w:tc>
        <w:tc>
          <w:tcPr>
            <w:tcW w:w="698" w:type="pct"/>
            <w:shd w:val="clear" w:color="auto" w:fill="auto"/>
            <w:noWrap/>
            <w:vAlign w:val="center"/>
          </w:tcPr>
          <w:p w14:paraId="653F108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12.0704 </w:t>
            </w:r>
          </w:p>
        </w:tc>
        <w:tc>
          <w:tcPr>
            <w:tcW w:w="564" w:type="pct"/>
            <w:shd w:val="clear" w:color="auto" w:fill="auto"/>
            <w:noWrap/>
            <w:vAlign w:val="bottom"/>
          </w:tcPr>
          <w:p w14:paraId="282AD34E">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18.26 </w:t>
            </w:r>
          </w:p>
        </w:tc>
      </w:tr>
      <w:tr w14:paraId="1A0D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21217C82">
            <w:pPr>
              <w:jc w:val="center"/>
              <w:rPr>
                <w:rFonts w:hint="default" w:ascii="Times New Roman" w:hAnsi="Times New Roman" w:eastAsia="仿宋" w:cs="Times New Roman"/>
                <w:i w:val="0"/>
                <w:iCs w:val="0"/>
                <w:color w:val="000000"/>
                <w:sz w:val="21"/>
                <w:szCs w:val="21"/>
                <w:u w:val="none"/>
              </w:rPr>
            </w:pPr>
          </w:p>
        </w:tc>
        <w:tc>
          <w:tcPr>
            <w:tcW w:w="1493" w:type="pct"/>
            <w:vMerge w:val="continue"/>
            <w:shd w:val="clear" w:color="auto" w:fill="auto"/>
            <w:noWrap/>
            <w:vAlign w:val="center"/>
          </w:tcPr>
          <w:p w14:paraId="62754C5E">
            <w:pPr>
              <w:jc w:val="center"/>
              <w:rPr>
                <w:rFonts w:hint="default" w:ascii="Times New Roman" w:hAnsi="Times New Roman" w:eastAsia="仿宋" w:cs="Times New Roman"/>
                <w:i w:val="0"/>
                <w:iCs w:val="0"/>
                <w:color w:val="000000"/>
                <w:sz w:val="21"/>
                <w:szCs w:val="21"/>
                <w:u w:val="none"/>
              </w:rPr>
            </w:pPr>
          </w:p>
        </w:tc>
        <w:tc>
          <w:tcPr>
            <w:tcW w:w="1497" w:type="pct"/>
            <w:shd w:val="clear" w:color="auto" w:fill="auto"/>
            <w:noWrap/>
            <w:vAlign w:val="center"/>
          </w:tcPr>
          <w:p w14:paraId="04C8E1B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城镇村道路用地</w:t>
            </w:r>
          </w:p>
        </w:tc>
        <w:tc>
          <w:tcPr>
            <w:tcW w:w="698" w:type="pct"/>
            <w:shd w:val="clear" w:color="auto" w:fill="auto"/>
            <w:noWrap/>
            <w:vAlign w:val="center"/>
          </w:tcPr>
          <w:p w14:paraId="10EFDD17">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0.0613 </w:t>
            </w:r>
          </w:p>
        </w:tc>
        <w:tc>
          <w:tcPr>
            <w:tcW w:w="564" w:type="pct"/>
            <w:shd w:val="clear" w:color="auto" w:fill="auto"/>
            <w:noWrap/>
            <w:vAlign w:val="bottom"/>
          </w:tcPr>
          <w:p w14:paraId="4DA2AFB8">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0.09 </w:t>
            </w:r>
          </w:p>
        </w:tc>
      </w:tr>
      <w:tr w14:paraId="1332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23110934">
            <w:pPr>
              <w:jc w:val="center"/>
              <w:rPr>
                <w:rFonts w:hint="default" w:ascii="Times New Roman" w:hAnsi="Times New Roman" w:eastAsia="仿宋" w:cs="Times New Roman"/>
                <w:i w:val="0"/>
                <w:iCs w:val="0"/>
                <w:color w:val="000000"/>
                <w:sz w:val="21"/>
                <w:szCs w:val="21"/>
                <w:u w:val="none"/>
              </w:rPr>
            </w:pPr>
          </w:p>
        </w:tc>
        <w:tc>
          <w:tcPr>
            <w:tcW w:w="2990" w:type="pct"/>
            <w:gridSpan w:val="2"/>
            <w:shd w:val="clear" w:color="auto" w:fill="auto"/>
            <w:noWrap/>
            <w:vAlign w:val="bottom"/>
          </w:tcPr>
          <w:p w14:paraId="5F702D6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合计</w:t>
            </w:r>
          </w:p>
        </w:tc>
        <w:tc>
          <w:tcPr>
            <w:tcW w:w="698" w:type="pct"/>
            <w:shd w:val="clear" w:color="auto" w:fill="auto"/>
            <w:noWrap/>
            <w:vAlign w:val="center"/>
          </w:tcPr>
          <w:p w14:paraId="68AAA650">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25.8731 </w:t>
            </w:r>
          </w:p>
        </w:tc>
        <w:tc>
          <w:tcPr>
            <w:tcW w:w="564" w:type="pct"/>
            <w:shd w:val="clear" w:color="auto" w:fill="auto"/>
            <w:noWrap/>
            <w:vAlign w:val="bottom"/>
          </w:tcPr>
          <w:p w14:paraId="5332144A">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39.14 </w:t>
            </w:r>
          </w:p>
        </w:tc>
      </w:tr>
      <w:tr w14:paraId="3C54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restart"/>
            <w:shd w:val="clear" w:color="auto" w:fill="auto"/>
            <w:noWrap/>
            <w:vAlign w:val="center"/>
          </w:tcPr>
          <w:p w14:paraId="16E98CB1">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未利用地</w:t>
            </w:r>
          </w:p>
        </w:tc>
        <w:tc>
          <w:tcPr>
            <w:tcW w:w="1493" w:type="pct"/>
            <w:shd w:val="clear" w:color="auto" w:fill="auto"/>
            <w:noWrap/>
            <w:vAlign w:val="center"/>
          </w:tcPr>
          <w:p w14:paraId="30DD0B95">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水域及水利设施用地</w:t>
            </w:r>
          </w:p>
        </w:tc>
        <w:tc>
          <w:tcPr>
            <w:tcW w:w="1497" w:type="pct"/>
            <w:shd w:val="clear" w:color="auto" w:fill="auto"/>
            <w:noWrap/>
            <w:vAlign w:val="center"/>
          </w:tcPr>
          <w:p w14:paraId="7E278E8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河流水面</w:t>
            </w:r>
          </w:p>
        </w:tc>
        <w:tc>
          <w:tcPr>
            <w:tcW w:w="698" w:type="pct"/>
            <w:shd w:val="clear" w:color="auto" w:fill="auto"/>
            <w:noWrap/>
            <w:vAlign w:val="center"/>
          </w:tcPr>
          <w:p w14:paraId="54B6C740">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 xml:space="preserve">0.0391 </w:t>
            </w:r>
          </w:p>
        </w:tc>
        <w:tc>
          <w:tcPr>
            <w:tcW w:w="564" w:type="pct"/>
            <w:shd w:val="clear" w:color="auto" w:fill="auto"/>
            <w:noWrap/>
            <w:vAlign w:val="bottom"/>
          </w:tcPr>
          <w:p w14:paraId="21646E01">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0.06 </w:t>
            </w:r>
          </w:p>
        </w:tc>
      </w:tr>
      <w:tr w14:paraId="1111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7" w:type="pct"/>
            <w:vMerge w:val="continue"/>
            <w:shd w:val="clear" w:color="auto" w:fill="auto"/>
            <w:noWrap/>
            <w:vAlign w:val="center"/>
          </w:tcPr>
          <w:p w14:paraId="585DD9AA">
            <w:pPr>
              <w:jc w:val="center"/>
              <w:rPr>
                <w:rFonts w:hint="default" w:ascii="Times New Roman" w:hAnsi="Times New Roman" w:eastAsia="仿宋" w:cs="Times New Roman"/>
                <w:i w:val="0"/>
                <w:iCs w:val="0"/>
                <w:color w:val="000000"/>
                <w:sz w:val="21"/>
                <w:szCs w:val="21"/>
                <w:u w:val="none"/>
              </w:rPr>
            </w:pPr>
          </w:p>
        </w:tc>
        <w:tc>
          <w:tcPr>
            <w:tcW w:w="2990" w:type="pct"/>
            <w:gridSpan w:val="2"/>
            <w:shd w:val="clear" w:color="auto" w:fill="auto"/>
            <w:noWrap/>
            <w:vAlign w:val="bottom"/>
          </w:tcPr>
          <w:p w14:paraId="6B1701A3">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合计</w:t>
            </w:r>
          </w:p>
        </w:tc>
        <w:tc>
          <w:tcPr>
            <w:tcW w:w="698" w:type="pct"/>
            <w:shd w:val="clear" w:color="auto" w:fill="auto"/>
            <w:noWrap/>
            <w:vAlign w:val="center"/>
          </w:tcPr>
          <w:p w14:paraId="0FBBEBDE">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0.0391 </w:t>
            </w:r>
          </w:p>
        </w:tc>
        <w:tc>
          <w:tcPr>
            <w:tcW w:w="564" w:type="pct"/>
            <w:shd w:val="clear" w:color="auto" w:fill="auto"/>
            <w:noWrap/>
            <w:vAlign w:val="bottom"/>
          </w:tcPr>
          <w:p w14:paraId="0A2AC078">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0.06 </w:t>
            </w:r>
          </w:p>
        </w:tc>
      </w:tr>
      <w:tr w14:paraId="1ED8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37" w:type="pct"/>
            <w:gridSpan w:val="3"/>
            <w:shd w:val="clear" w:color="auto" w:fill="auto"/>
            <w:noWrap/>
            <w:vAlign w:val="center"/>
          </w:tcPr>
          <w:p w14:paraId="13B645AF">
            <w:pPr>
              <w:jc w:val="center"/>
              <w:rPr>
                <w:rFonts w:hint="eastAsia" w:ascii="Times New Roman" w:hAnsi="Times New Roman" w:eastAsia="仿宋" w:cs="Times New Roman"/>
                <w:i w:val="0"/>
                <w:iCs w:val="0"/>
                <w:color w:val="000000"/>
                <w:sz w:val="21"/>
                <w:szCs w:val="21"/>
                <w:u w:val="none"/>
              </w:rPr>
            </w:pPr>
            <w:r>
              <w:rPr>
                <w:rFonts w:hint="eastAsia" w:ascii="Times New Roman" w:hAnsi="Times New Roman" w:eastAsia="仿宋" w:cs="Times New Roman"/>
                <w:i w:val="0"/>
                <w:iCs w:val="0"/>
                <w:color w:val="000000"/>
                <w:sz w:val="21"/>
                <w:szCs w:val="21"/>
                <w:u w:val="none"/>
                <w:lang w:val="en-US" w:eastAsia="zh-CN"/>
              </w:rPr>
              <w:t>总计</w:t>
            </w:r>
          </w:p>
        </w:tc>
        <w:tc>
          <w:tcPr>
            <w:tcW w:w="698" w:type="pct"/>
            <w:shd w:val="clear" w:color="auto" w:fill="auto"/>
            <w:noWrap/>
            <w:vAlign w:val="center"/>
          </w:tcPr>
          <w:p w14:paraId="0F5F6423">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66.0992 </w:t>
            </w:r>
          </w:p>
        </w:tc>
        <w:tc>
          <w:tcPr>
            <w:tcW w:w="564" w:type="pct"/>
            <w:shd w:val="clear" w:color="auto" w:fill="auto"/>
            <w:noWrap/>
            <w:vAlign w:val="bottom"/>
          </w:tcPr>
          <w:p w14:paraId="547F2D59">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sz w:val="21"/>
                <w:szCs w:val="21"/>
                <w:u w:val="none"/>
                <w:lang w:val="en-US" w:eastAsia="zh-CN"/>
              </w:rPr>
              <w:t xml:space="preserve">100.00 </w:t>
            </w:r>
          </w:p>
        </w:tc>
      </w:tr>
    </w:tbl>
    <w:p w14:paraId="312FDABF">
      <w:pPr>
        <w:keepNext/>
        <w:keepLines/>
        <w:widowControl w:val="0"/>
        <w:numPr>
          <w:ilvl w:val="2"/>
          <w:numId w:val="0"/>
        </w:numPr>
        <w:bidi w:val="0"/>
        <w:spacing w:line="240" w:lineRule="auto"/>
        <w:jc w:val="both"/>
        <w:outlineLvl w:val="2"/>
        <w:rPr>
          <w:rFonts w:hint="default" w:ascii="Times New Roman" w:hAnsi="Times New Roman" w:eastAsia="仿宋" w:cs="Times New Roman"/>
          <w:b/>
          <w:bCs/>
          <w:kern w:val="2"/>
          <w:sz w:val="28"/>
          <w:szCs w:val="32"/>
          <w:highlight w:val="none"/>
          <w:lang w:val="en-US" w:eastAsia="zh-CN" w:bidi="ar-SA"/>
        </w:rPr>
      </w:pPr>
      <w:r>
        <w:rPr>
          <w:rFonts w:hint="eastAsia" w:ascii="Times New Roman" w:hAnsi="Times New Roman" w:eastAsia="仿宋" w:cs="Times New Roman"/>
          <w:b/>
          <w:bCs/>
          <w:kern w:val="2"/>
          <w:sz w:val="28"/>
          <w:szCs w:val="32"/>
          <w:lang w:val="en-US" w:eastAsia="zh-CN" w:bidi="ar-SA"/>
        </w:rPr>
        <w:t>2.3.2.</w:t>
      </w:r>
      <w:r>
        <w:rPr>
          <w:rFonts w:hint="eastAsia" w:ascii="Times New Roman" w:hAnsi="Times New Roman" w:eastAsia="仿宋" w:cs="Times New Roman"/>
          <w:b/>
          <w:bCs/>
          <w:kern w:val="2"/>
          <w:sz w:val="28"/>
          <w:szCs w:val="32"/>
          <w:highlight w:val="none"/>
          <w:lang w:val="en-US" w:eastAsia="zh-CN" w:bidi="ar-SA"/>
        </w:rPr>
        <w:t>项目用地</w:t>
      </w:r>
      <w:r>
        <w:rPr>
          <w:rFonts w:hint="default" w:ascii="Times New Roman" w:hAnsi="Times New Roman" w:eastAsia="仿宋" w:cs="Times New Roman"/>
          <w:b/>
          <w:bCs/>
          <w:kern w:val="2"/>
          <w:sz w:val="28"/>
          <w:szCs w:val="32"/>
          <w:highlight w:val="none"/>
          <w:lang w:val="en-US" w:eastAsia="zh-CN" w:bidi="ar-SA"/>
        </w:rPr>
        <w:t>范围土地利用现状</w:t>
      </w:r>
    </w:p>
    <w:p w14:paraId="1E12C24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bidi="ar-SA"/>
        </w:rPr>
      </w:pPr>
      <w:r>
        <w:rPr>
          <w:rFonts w:hint="default" w:ascii="Times New Roman" w:hAnsi="Times New Roman" w:eastAsia="仿宋" w:cs="Times New Roman"/>
          <w:color w:val="auto"/>
          <w:sz w:val="28"/>
          <w:szCs w:val="32"/>
          <w:highlight w:val="none"/>
          <w:lang w:val="en-US" w:eastAsia="zh-CN" w:bidi="ar-SA"/>
        </w:rPr>
        <w:t>依据</w:t>
      </w:r>
      <w:r>
        <w:rPr>
          <w:rFonts w:hint="eastAsia" w:ascii="Times New Roman" w:hAnsi="Times New Roman" w:eastAsia="仿宋" w:cs="Times New Roman"/>
          <w:color w:val="auto"/>
          <w:sz w:val="28"/>
          <w:szCs w:val="28"/>
          <w:highlight w:val="none"/>
          <w:lang w:val="en-US" w:eastAsia="zh-CN" w:bidi="ar-SA"/>
        </w:rPr>
        <w:t>高平市2023年度国土变更调查数据</w:t>
      </w:r>
      <w:r>
        <w:rPr>
          <w:rFonts w:hint="default" w:ascii="Times New Roman" w:hAnsi="Times New Roman" w:eastAsia="仿宋" w:cs="Times New Roman"/>
          <w:color w:val="auto"/>
          <w:sz w:val="28"/>
          <w:szCs w:val="32"/>
          <w:highlight w:val="none"/>
          <w:lang w:val="en-US" w:eastAsia="zh-CN" w:bidi="ar-SA"/>
        </w:rPr>
        <w:t>，本方案</w:t>
      </w:r>
      <w:r>
        <w:rPr>
          <w:rFonts w:hint="eastAsia" w:ascii="Times New Roman" w:hAnsi="Times New Roman" w:eastAsia="仿宋" w:cs="Times New Roman"/>
          <w:color w:val="auto"/>
          <w:sz w:val="28"/>
          <w:szCs w:val="32"/>
          <w:highlight w:val="none"/>
          <w:lang w:val="en-US" w:eastAsia="zh-CN" w:bidi="ar-SA"/>
        </w:rPr>
        <w:t>项目用地总面积45.9447</w:t>
      </w:r>
      <w:r>
        <w:rPr>
          <w:rFonts w:hint="default" w:ascii="Times New Roman" w:hAnsi="Times New Roman" w:eastAsia="仿宋" w:cs="Times New Roman"/>
          <w:color w:val="auto"/>
          <w:sz w:val="28"/>
          <w:szCs w:val="32"/>
          <w:highlight w:val="none"/>
          <w:lang w:val="en-US" w:eastAsia="zh-CN" w:bidi="ar-SA"/>
        </w:rPr>
        <w:t>公顷，其中农用地面积</w:t>
      </w:r>
      <w:r>
        <w:rPr>
          <w:rFonts w:hint="eastAsia" w:ascii="Times New Roman" w:hAnsi="Times New Roman" w:eastAsia="仿宋" w:cs="Times New Roman"/>
          <w:color w:val="auto"/>
          <w:sz w:val="28"/>
          <w:szCs w:val="32"/>
          <w:highlight w:val="none"/>
          <w:lang w:val="en-US" w:eastAsia="zh-CN" w:bidi="ar-SA"/>
        </w:rPr>
        <w:t>39.8759</w:t>
      </w:r>
      <w:r>
        <w:rPr>
          <w:rFonts w:hint="default" w:ascii="Times New Roman" w:hAnsi="Times New Roman" w:eastAsia="仿宋" w:cs="Times New Roman"/>
          <w:color w:val="auto"/>
          <w:sz w:val="28"/>
          <w:szCs w:val="32"/>
          <w:highlight w:val="none"/>
          <w:lang w:val="en-US" w:eastAsia="zh-CN" w:bidi="ar-SA"/>
        </w:rPr>
        <w:t>公顷（耕地</w:t>
      </w:r>
      <w:r>
        <w:rPr>
          <w:rFonts w:hint="eastAsia" w:ascii="Times New Roman" w:hAnsi="Times New Roman" w:eastAsia="仿宋" w:cs="Times New Roman"/>
          <w:color w:val="auto"/>
          <w:sz w:val="28"/>
          <w:szCs w:val="32"/>
          <w:highlight w:val="none"/>
          <w:lang w:val="en-US" w:eastAsia="zh-CN" w:bidi="ar-SA"/>
        </w:rPr>
        <w:t>38.0698</w:t>
      </w:r>
      <w:r>
        <w:rPr>
          <w:rFonts w:hint="default" w:ascii="Times New Roman" w:hAnsi="Times New Roman" w:eastAsia="仿宋" w:cs="Times New Roman"/>
          <w:color w:val="auto"/>
          <w:sz w:val="28"/>
          <w:szCs w:val="32"/>
          <w:highlight w:val="none"/>
          <w:lang w:val="en-US" w:eastAsia="zh-CN" w:bidi="ar-SA"/>
        </w:rPr>
        <w:t>公顷、</w:t>
      </w:r>
      <w:r>
        <w:rPr>
          <w:rFonts w:hint="eastAsia" w:ascii="Times New Roman" w:hAnsi="Times New Roman" w:eastAsia="仿宋" w:cs="Times New Roman"/>
          <w:color w:val="auto"/>
          <w:sz w:val="28"/>
          <w:szCs w:val="32"/>
          <w:highlight w:val="none"/>
          <w:lang w:val="en-US" w:eastAsia="zh-CN" w:bidi="ar-SA"/>
        </w:rPr>
        <w:t>园地1.0600</w:t>
      </w:r>
      <w:r>
        <w:rPr>
          <w:rFonts w:hint="default" w:ascii="Times New Roman" w:hAnsi="Times New Roman" w:eastAsia="仿宋" w:cs="Times New Roman"/>
          <w:color w:val="auto"/>
          <w:sz w:val="28"/>
          <w:szCs w:val="32"/>
          <w:highlight w:val="none"/>
          <w:lang w:val="en-US" w:eastAsia="zh-CN" w:bidi="ar-SA"/>
        </w:rPr>
        <w:t>公顷、林地</w:t>
      </w:r>
      <w:r>
        <w:rPr>
          <w:rFonts w:hint="eastAsia" w:ascii="Times New Roman" w:hAnsi="Times New Roman" w:eastAsia="仿宋" w:cs="Times New Roman"/>
          <w:color w:val="auto"/>
          <w:sz w:val="28"/>
          <w:szCs w:val="32"/>
          <w:highlight w:val="none"/>
          <w:lang w:val="en-US" w:eastAsia="zh-CN" w:bidi="ar-SA"/>
        </w:rPr>
        <w:t>0.2576</w:t>
      </w:r>
      <w:r>
        <w:rPr>
          <w:rFonts w:hint="default" w:ascii="Times New Roman" w:hAnsi="Times New Roman" w:eastAsia="仿宋" w:cs="Times New Roman"/>
          <w:color w:val="auto"/>
          <w:sz w:val="28"/>
          <w:szCs w:val="32"/>
          <w:highlight w:val="none"/>
          <w:lang w:val="en-US" w:eastAsia="zh-CN" w:bidi="ar-SA"/>
        </w:rPr>
        <w:t>公顷、</w:t>
      </w:r>
      <w:r>
        <w:rPr>
          <w:rFonts w:hint="eastAsia" w:ascii="Times New Roman" w:hAnsi="Times New Roman" w:eastAsia="仿宋" w:cs="Times New Roman"/>
          <w:color w:val="auto"/>
          <w:sz w:val="28"/>
          <w:szCs w:val="32"/>
          <w:highlight w:val="none"/>
          <w:lang w:val="en-US" w:eastAsia="zh-CN" w:bidi="ar-SA"/>
        </w:rPr>
        <w:t>草地0.0308公顷、交通运输用地0.4056公顷、</w:t>
      </w:r>
      <w:r>
        <w:rPr>
          <w:rFonts w:hint="default" w:ascii="Times New Roman" w:hAnsi="Times New Roman" w:eastAsia="仿宋" w:cs="Times New Roman"/>
          <w:color w:val="auto"/>
          <w:sz w:val="28"/>
          <w:szCs w:val="32"/>
          <w:highlight w:val="none"/>
          <w:lang w:val="en-US" w:eastAsia="zh-CN" w:bidi="ar-SA"/>
        </w:rPr>
        <w:t>其他农用地</w:t>
      </w:r>
      <w:r>
        <w:rPr>
          <w:rFonts w:hint="eastAsia" w:ascii="Times New Roman" w:hAnsi="Times New Roman" w:eastAsia="仿宋" w:cs="Times New Roman"/>
          <w:color w:val="auto"/>
          <w:sz w:val="28"/>
          <w:szCs w:val="32"/>
          <w:highlight w:val="none"/>
          <w:lang w:val="en-US" w:eastAsia="zh-CN" w:bidi="ar-SA"/>
        </w:rPr>
        <w:t>0.0521</w:t>
      </w:r>
      <w:r>
        <w:rPr>
          <w:rFonts w:hint="default" w:ascii="Times New Roman" w:hAnsi="Times New Roman" w:eastAsia="仿宋" w:cs="Times New Roman"/>
          <w:color w:val="auto"/>
          <w:sz w:val="28"/>
          <w:szCs w:val="32"/>
          <w:highlight w:val="none"/>
          <w:lang w:val="en-US" w:eastAsia="zh-CN" w:bidi="ar-SA"/>
        </w:rPr>
        <w:t>公顷），建设用地面积</w:t>
      </w:r>
      <w:r>
        <w:rPr>
          <w:rFonts w:hint="eastAsia" w:ascii="Times New Roman" w:hAnsi="Times New Roman" w:eastAsia="仿宋" w:cs="Times New Roman"/>
          <w:color w:val="auto"/>
          <w:sz w:val="28"/>
          <w:szCs w:val="32"/>
          <w:highlight w:val="none"/>
          <w:lang w:val="en-US" w:eastAsia="zh-CN" w:bidi="ar-SA"/>
        </w:rPr>
        <w:t>6.0689</w:t>
      </w:r>
      <w:r>
        <w:rPr>
          <w:rFonts w:hint="default" w:ascii="Times New Roman" w:hAnsi="Times New Roman" w:eastAsia="仿宋" w:cs="Times New Roman"/>
          <w:color w:val="auto"/>
          <w:sz w:val="28"/>
          <w:szCs w:val="32"/>
          <w:highlight w:val="none"/>
          <w:lang w:val="en-US" w:eastAsia="zh-CN" w:bidi="ar-SA"/>
        </w:rPr>
        <w:t>公顷。</w:t>
      </w:r>
      <w:r>
        <w:rPr>
          <w:rFonts w:hint="default" w:ascii="Times New Roman" w:hAnsi="Times New Roman" w:eastAsia="仿宋" w:cs="Times New Roman"/>
          <w:color w:val="auto"/>
          <w:sz w:val="28"/>
          <w:szCs w:val="28"/>
          <w:highlight w:val="none"/>
          <w:lang w:bidi="ar-SA"/>
        </w:rPr>
        <w:t>见</w:t>
      </w:r>
      <w:r>
        <w:rPr>
          <w:rFonts w:hint="eastAsia" w:ascii="Times New Roman" w:hAnsi="Times New Roman" w:eastAsia="仿宋" w:cs="Times New Roman"/>
          <w:color w:val="auto"/>
          <w:sz w:val="28"/>
          <w:szCs w:val="28"/>
          <w:highlight w:val="none"/>
          <w:lang w:val="en-US" w:eastAsia="zh-CN" w:bidi="ar-SA"/>
        </w:rPr>
        <w:t>下</w:t>
      </w:r>
      <w:r>
        <w:rPr>
          <w:rFonts w:hint="default" w:ascii="Times New Roman" w:hAnsi="Times New Roman" w:eastAsia="仿宋" w:cs="Times New Roman"/>
          <w:color w:val="auto"/>
          <w:sz w:val="28"/>
          <w:szCs w:val="28"/>
          <w:highlight w:val="none"/>
          <w:lang w:bidi="ar-SA"/>
        </w:rPr>
        <w:t>表2-</w:t>
      </w:r>
      <w:r>
        <w:rPr>
          <w:rFonts w:hint="eastAsia" w:ascii="Times New Roman" w:hAnsi="Times New Roman" w:eastAsia="仿宋" w:cs="Times New Roman"/>
          <w:color w:val="auto"/>
          <w:sz w:val="28"/>
          <w:szCs w:val="28"/>
          <w:highlight w:val="none"/>
          <w:lang w:val="en-US" w:eastAsia="zh-CN" w:bidi="ar-SA"/>
        </w:rPr>
        <w:t>3</w:t>
      </w:r>
      <w:r>
        <w:rPr>
          <w:rFonts w:hint="default" w:ascii="Times New Roman" w:hAnsi="Times New Roman" w:eastAsia="仿宋" w:cs="Times New Roman"/>
          <w:color w:val="auto"/>
          <w:sz w:val="28"/>
          <w:szCs w:val="28"/>
          <w:highlight w:val="none"/>
          <w:lang w:bidi="ar-SA"/>
        </w:rPr>
        <w:t>。</w:t>
      </w:r>
    </w:p>
    <w:p w14:paraId="2051A0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表2-3 项目用地土地利用现状统计表</w:t>
      </w:r>
    </w:p>
    <w:p w14:paraId="0618F6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 xml:space="preserve">                                                    单位：公顷、%</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2163"/>
        <w:gridCol w:w="2173"/>
        <w:gridCol w:w="1694"/>
        <w:gridCol w:w="1413"/>
      </w:tblGrid>
      <w:tr w14:paraId="762A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176" w:type="pct"/>
            <w:gridSpan w:val="3"/>
            <w:tcBorders>
              <w:top w:val="single" w:color="000000" w:sz="8" w:space="0"/>
              <w:left w:val="single" w:color="000000" w:sz="8" w:space="0"/>
              <w:bottom w:val="single" w:color="000000" w:sz="8" w:space="0"/>
              <w:right w:val="single" w:color="000000" w:sz="8" w:space="0"/>
            </w:tcBorders>
            <w:shd w:val="clear" w:color="auto" w:fill="auto"/>
            <w:noWrap/>
            <w:vAlign w:val="bottom"/>
          </w:tcPr>
          <w:p w14:paraId="494FE9C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现状地类</w:t>
            </w:r>
          </w:p>
        </w:tc>
        <w:tc>
          <w:tcPr>
            <w:tcW w:w="1823" w:type="pct"/>
            <w:gridSpan w:val="2"/>
            <w:tcBorders>
              <w:top w:val="single" w:color="000000" w:sz="8" w:space="0"/>
              <w:left w:val="single" w:color="000000" w:sz="8" w:space="0"/>
              <w:bottom w:val="single" w:color="000000" w:sz="8" w:space="0"/>
              <w:right w:val="single" w:color="000000" w:sz="8" w:space="0"/>
            </w:tcBorders>
            <w:shd w:val="clear" w:color="auto" w:fill="auto"/>
            <w:noWrap/>
            <w:vAlign w:val="bottom"/>
          </w:tcPr>
          <w:p w14:paraId="04227E4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项目面积</w:t>
            </w:r>
          </w:p>
        </w:tc>
      </w:tr>
      <w:tr w14:paraId="34D5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tcBorders>
              <w:top w:val="nil"/>
              <w:left w:val="single" w:color="000000" w:sz="8" w:space="0"/>
              <w:bottom w:val="single" w:color="000000" w:sz="8" w:space="0"/>
              <w:right w:val="single" w:color="000000" w:sz="8" w:space="0"/>
            </w:tcBorders>
            <w:shd w:val="clear" w:color="auto" w:fill="auto"/>
            <w:noWrap/>
            <w:vAlign w:val="bottom"/>
          </w:tcPr>
          <w:p w14:paraId="3624A26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三大类</w:t>
            </w:r>
          </w:p>
        </w:tc>
        <w:tc>
          <w:tcPr>
            <w:tcW w:w="1269" w:type="pct"/>
            <w:tcBorders>
              <w:top w:val="nil"/>
              <w:left w:val="single" w:color="000000" w:sz="8" w:space="0"/>
              <w:bottom w:val="single" w:color="000000" w:sz="8" w:space="0"/>
              <w:right w:val="single" w:color="000000" w:sz="8" w:space="0"/>
            </w:tcBorders>
            <w:shd w:val="clear" w:color="auto" w:fill="auto"/>
            <w:noWrap/>
            <w:vAlign w:val="bottom"/>
          </w:tcPr>
          <w:p w14:paraId="78CD240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一级类</w:t>
            </w:r>
          </w:p>
        </w:tc>
        <w:tc>
          <w:tcPr>
            <w:tcW w:w="1274" w:type="pct"/>
            <w:tcBorders>
              <w:top w:val="single" w:color="000000" w:sz="8" w:space="0"/>
              <w:left w:val="single" w:color="000000" w:sz="8" w:space="0"/>
              <w:bottom w:val="single" w:color="000000" w:sz="8" w:space="0"/>
              <w:right w:val="single" w:color="000000" w:sz="8" w:space="0"/>
            </w:tcBorders>
            <w:shd w:val="clear" w:color="auto" w:fill="auto"/>
            <w:noWrap/>
            <w:vAlign w:val="bottom"/>
          </w:tcPr>
          <w:p w14:paraId="7A5E4BCC">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二级类</w:t>
            </w:r>
          </w:p>
        </w:tc>
        <w:tc>
          <w:tcPr>
            <w:tcW w:w="9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3DAB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面积（公顷）</w:t>
            </w:r>
          </w:p>
        </w:tc>
        <w:tc>
          <w:tcPr>
            <w:tcW w:w="82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6511D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比例（</w:t>
            </w:r>
            <w:r>
              <w:rPr>
                <w:rFonts w:hint="default" w:ascii="Times New Roman" w:hAnsi="Times New Roman" w:eastAsia="仿宋" w:cs="Times New Roman"/>
                <w:i w:val="0"/>
                <w:iCs w:val="0"/>
                <w:color w:val="000000"/>
                <w:kern w:val="0"/>
                <w:sz w:val="21"/>
                <w:szCs w:val="21"/>
                <w:u w:val="none"/>
                <w:lang w:val="en-US" w:eastAsia="zh-CN" w:bidi="ar"/>
              </w:rPr>
              <w:t>%</w:t>
            </w:r>
            <w:r>
              <w:rPr>
                <w:rFonts w:hint="eastAsia" w:ascii="Times New Roman" w:hAnsi="Times New Roman" w:eastAsia="仿宋" w:cs="Times New Roman"/>
                <w:i w:val="0"/>
                <w:iCs w:val="0"/>
                <w:color w:val="000000"/>
                <w:kern w:val="0"/>
                <w:sz w:val="21"/>
                <w:szCs w:val="21"/>
                <w:u w:val="none"/>
                <w:lang w:val="en-US" w:eastAsia="zh-CN" w:bidi="ar"/>
              </w:rPr>
              <w:t>）</w:t>
            </w:r>
          </w:p>
        </w:tc>
      </w:tr>
      <w:tr w14:paraId="2391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restart"/>
            <w:tcBorders>
              <w:top w:val="nil"/>
              <w:left w:val="single" w:color="000000" w:sz="8" w:space="0"/>
              <w:right w:val="single" w:color="000000" w:sz="8" w:space="0"/>
            </w:tcBorders>
            <w:shd w:val="clear" w:color="auto" w:fill="auto"/>
            <w:noWrap/>
            <w:vAlign w:val="center"/>
          </w:tcPr>
          <w:p w14:paraId="2249921E">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农用地</w:t>
            </w: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17A2E12E">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耕地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152E0650">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旱地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4051770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38.0698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749BBFF7">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82.86 </w:t>
            </w:r>
          </w:p>
        </w:tc>
      </w:tr>
      <w:tr w14:paraId="5D87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0C802789">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1799D24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种植园用地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67988B8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果园</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03F00CE8">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1.0600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2F9542B7">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2.31 </w:t>
            </w:r>
          </w:p>
        </w:tc>
      </w:tr>
      <w:tr w14:paraId="65EF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71010906">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restart"/>
            <w:tcBorders>
              <w:top w:val="nil"/>
              <w:left w:val="single" w:color="000000" w:sz="8" w:space="0"/>
              <w:right w:val="single" w:color="000000" w:sz="8" w:space="0"/>
            </w:tcBorders>
            <w:shd w:val="clear" w:color="auto" w:fill="auto"/>
            <w:noWrap/>
            <w:vAlign w:val="center"/>
          </w:tcPr>
          <w:p w14:paraId="0D06DA3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林地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07599DE7">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乔木林地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21058B04">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0.1613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2E190E7C">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0.35 </w:t>
            </w:r>
          </w:p>
        </w:tc>
      </w:tr>
      <w:tr w14:paraId="4618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1B88EF80">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continue"/>
            <w:tcBorders>
              <w:left w:val="single" w:color="000000" w:sz="8" w:space="0"/>
              <w:bottom w:val="single" w:color="000000" w:sz="8" w:space="0"/>
              <w:right w:val="single" w:color="000000" w:sz="8" w:space="0"/>
            </w:tcBorders>
            <w:shd w:val="clear" w:color="auto" w:fill="auto"/>
            <w:noWrap/>
            <w:vAlign w:val="center"/>
          </w:tcPr>
          <w:p w14:paraId="51DA3D7C">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4E8C09D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其他林地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29F7D17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0.0963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0A52DA9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0.21 </w:t>
            </w:r>
          </w:p>
        </w:tc>
      </w:tr>
      <w:tr w14:paraId="5671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4B6B1E4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290ACA8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草地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72549F90">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其他草地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13CA450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0.0308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3F9AA93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0.07 </w:t>
            </w:r>
          </w:p>
        </w:tc>
      </w:tr>
      <w:tr w14:paraId="1BFA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70FC649E">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08A8DC9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3B79A862">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农村道路</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4C4C6B2">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0.4056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6509EBA">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0.88 </w:t>
            </w:r>
          </w:p>
        </w:tc>
      </w:tr>
      <w:tr w14:paraId="7258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4A72FC52">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616BE0AB">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其他土地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52203D2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设施农用地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3569BB15">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0.0521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2F153D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0.11 </w:t>
            </w:r>
          </w:p>
        </w:tc>
      </w:tr>
      <w:tr w14:paraId="07D2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bottom w:val="single" w:color="000000" w:sz="8" w:space="0"/>
              <w:right w:val="single" w:color="000000" w:sz="8" w:space="0"/>
            </w:tcBorders>
            <w:shd w:val="clear" w:color="auto" w:fill="auto"/>
            <w:noWrap/>
            <w:vAlign w:val="center"/>
          </w:tcPr>
          <w:p w14:paraId="36BE995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2543" w:type="pct"/>
            <w:gridSpan w:val="2"/>
            <w:tcBorders>
              <w:top w:val="nil"/>
              <w:left w:val="single" w:color="000000" w:sz="8" w:space="0"/>
              <w:bottom w:val="single" w:color="000000" w:sz="8" w:space="0"/>
              <w:right w:val="single" w:color="000000" w:sz="8" w:space="0"/>
            </w:tcBorders>
            <w:shd w:val="clear" w:color="auto" w:fill="auto"/>
            <w:noWrap/>
            <w:vAlign w:val="center"/>
          </w:tcPr>
          <w:p w14:paraId="1E55B78F">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3CFF713F">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39.8759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5DCC345D">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86.79 </w:t>
            </w:r>
          </w:p>
        </w:tc>
      </w:tr>
      <w:tr w14:paraId="4B19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restart"/>
            <w:tcBorders>
              <w:top w:val="nil"/>
              <w:left w:val="single" w:color="000000" w:sz="8" w:space="0"/>
              <w:right w:val="single" w:color="000000" w:sz="8" w:space="0"/>
            </w:tcBorders>
            <w:shd w:val="clear" w:color="auto" w:fill="auto"/>
            <w:noWrap/>
            <w:vAlign w:val="center"/>
          </w:tcPr>
          <w:p w14:paraId="471A2E37">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建设用地</w:t>
            </w: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5317C06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商业服务业设施用地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597CC297">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商业服务业设施用地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3BE02CC0">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1.0535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51B425E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2.2</w:t>
            </w:r>
            <w:r>
              <w:rPr>
                <w:rFonts w:hint="eastAsia" w:ascii="Times New Roman" w:hAnsi="Times New Roman" w:eastAsia="仿宋" w:cs="Times New Roman"/>
                <w:i w:val="0"/>
                <w:iCs w:val="0"/>
                <w:color w:val="000000"/>
                <w:kern w:val="0"/>
                <w:sz w:val="21"/>
                <w:szCs w:val="21"/>
                <w:u w:val="none"/>
                <w:lang w:val="en-US" w:eastAsia="zh-CN" w:bidi="ar"/>
              </w:rPr>
              <w:t>8</w:t>
            </w:r>
            <w:r>
              <w:rPr>
                <w:rFonts w:hint="default" w:ascii="Times New Roman" w:hAnsi="Times New Roman" w:eastAsia="仿宋" w:cs="Times New Roman"/>
                <w:i w:val="0"/>
                <w:iCs w:val="0"/>
                <w:color w:val="000000"/>
                <w:kern w:val="0"/>
                <w:sz w:val="21"/>
                <w:szCs w:val="21"/>
                <w:u w:val="none"/>
                <w:lang w:val="en-US" w:eastAsia="zh-CN" w:bidi="ar"/>
              </w:rPr>
              <w:t xml:space="preserve"> </w:t>
            </w:r>
          </w:p>
        </w:tc>
      </w:tr>
      <w:tr w14:paraId="20A8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18C74C7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188DF565">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仓储用地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2189687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物流仓储用地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457811F4">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0.0019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3F8D290">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w:t>
            </w:r>
            <w:r>
              <w:rPr>
                <w:rFonts w:hint="eastAsia" w:ascii="Times New Roman" w:hAnsi="Times New Roman" w:eastAsia="仿宋" w:cs="Times New Roman"/>
                <w:i w:val="0"/>
                <w:iCs w:val="0"/>
                <w:color w:val="000000"/>
                <w:kern w:val="0"/>
                <w:sz w:val="21"/>
                <w:szCs w:val="21"/>
                <w:u w:val="none"/>
                <w:lang w:val="en-US" w:eastAsia="zh-CN" w:bidi="ar"/>
              </w:rPr>
              <w:t>1</w:t>
            </w:r>
          </w:p>
        </w:tc>
      </w:tr>
      <w:tr w14:paraId="7956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2" w:type="pct"/>
            <w:vMerge w:val="continue"/>
            <w:tcBorders>
              <w:left w:val="single" w:color="000000" w:sz="8" w:space="0"/>
              <w:right w:val="single" w:color="000000" w:sz="8" w:space="0"/>
            </w:tcBorders>
            <w:shd w:val="clear" w:color="auto" w:fill="auto"/>
            <w:noWrap/>
            <w:vAlign w:val="center"/>
          </w:tcPr>
          <w:p w14:paraId="5462E326">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5FC637E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工矿用地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03DE4D9E">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1637C16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0.8591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7EA4307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1.87 </w:t>
            </w:r>
          </w:p>
        </w:tc>
      </w:tr>
      <w:tr w14:paraId="253B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7B321DF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restart"/>
            <w:tcBorders>
              <w:top w:val="nil"/>
              <w:left w:val="single" w:color="000000" w:sz="8" w:space="0"/>
              <w:right w:val="single" w:color="000000" w:sz="8" w:space="0"/>
            </w:tcBorders>
            <w:shd w:val="clear" w:color="auto" w:fill="auto"/>
            <w:noWrap/>
            <w:vAlign w:val="center"/>
          </w:tcPr>
          <w:p w14:paraId="1A55A119">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居住用地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02C4A10C">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城镇住宅用地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DB3DFC1">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0.0454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2694F0EF">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0.10 </w:t>
            </w:r>
          </w:p>
        </w:tc>
      </w:tr>
      <w:tr w14:paraId="6DFF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1A01EE1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continue"/>
            <w:tcBorders>
              <w:left w:val="single" w:color="000000" w:sz="8" w:space="0"/>
              <w:bottom w:val="single" w:color="000000" w:sz="8" w:space="0"/>
              <w:right w:val="single" w:color="000000" w:sz="8" w:space="0"/>
            </w:tcBorders>
            <w:shd w:val="clear" w:color="auto" w:fill="auto"/>
            <w:noWrap/>
            <w:vAlign w:val="center"/>
          </w:tcPr>
          <w:p w14:paraId="10F5DCD8">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4B08E26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农村宅基地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E6BC4A6">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0.1506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044E39C6">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0.33 </w:t>
            </w:r>
          </w:p>
        </w:tc>
      </w:tr>
      <w:tr w14:paraId="31B2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080307F2">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restart"/>
            <w:tcBorders>
              <w:top w:val="nil"/>
              <w:left w:val="single" w:color="000000" w:sz="8" w:space="0"/>
              <w:right w:val="single" w:color="000000" w:sz="8" w:space="0"/>
            </w:tcBorders>
            <w:shd w:val="clear" w:color="auto" w:fill="auto"/>
            <w:noWrap/>
            <w:vAlign w:val="center"/>
          </w:tcPr>
          <w:p w14:paraId="47D0513C">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sz w:val="21"/>
                <w:szCs w:val="21"/>
                <w:u w:val="none"/>
                <w:lang w:val="en-US" w:eastAsia="zh-CN"/>
              </w:rPr>
              <w:t>绿地与开敞空间用地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2EC2D636">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公园与绿地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2F9106A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1.8090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053AB22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3.94 </w:t>
            </w:r>
          </w:p>
        </w:tc>
      </w:tr>
      <w:tr w14:paraId="49BC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6805ADA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vMerge w:val="continue"/>
            <w:tcBorders>
              <w:left w:val="single" w:color="000000" w:sz="8" w:space="0"/>
              <w:bottom w:val="single" w:color="000000" w:sz="8" w:space="0"/>
              <w:right w:val="single" w:color="000000" w:sz="8" w:space="0"/>
            </w:tcBorders>
            <w:shd w:val="clear" w:color="auto" w:fill="auto"/>
            <w:noWrap/>
            <w:vAlign w:val="center"/>
          </w:tcPr>
          <w:p w14:paraId="34375C38">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76A3EB11">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广场用地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5AAE0171">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0.0070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6D552AF3">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0.02 </w:t>
            </w:r>
          </w:p>
        </w:tc>
      </w:tr>
      <w:tr w14:paraId="45B7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right w:val="single" w:color="000000" w:sz="8" w:space="0"/>
            </w:tcBorders>
            <w:shd w:val="clear" w:color="auto" w:fill="auto"/>
            <w:noWrap/>
            <w:vAlign w:val="center"/>
          </w:tcPr>
          <w:p w14:paraId="462AE09D">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1269" w:type="pct"/>
            <w:tcBorders>
              <w:top w:val="nil"/>
              <w:left w:val="single" w:color="000000" w:sz="8" w:space="0"/>
              <w:bottom w:val="single" w:color="000000" w:sz="8" w:space="0"/>
              <w:right w:val="single" w:color="000000" w:sz="8" w:space="0"/>
            </w:tcBorders>
            <w:shd w:val="clear" w:color="auto" w:fill="auto"/>
            <w:noWrap/>
            <w:vAlign w:val="center"/>
          </w:tcPr>
          <w:p w14:paraId="2500C6D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1274" w:type="pct"/>
            <w:tcBorders>
              <w:top w:val="nil"/>
              <w:left w:val="single" w:color="000000" w:sz="8" w:space="0"/>
              <w:bottom w:val="single" w:color="000000" w:sz="8" w:space="0"/>
              <w:right w:val="single" w:color="000000" w:sz="8" w:space="0"/>
            </w:tcBorders>
            <w:shd w:val="clear" w:color="auto" w:fill="auto"/>
            <w:noWrap/>
            <w:vAlign w:val="center"/>
          </w:tcPr>
          <w:p w14:paraId="57A1D088">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公路用地</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C314D25">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2.1424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638CFB4F">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4.66 </w:t>
            </w:r>
          </w:p>
        </w:tc>
      </w:tr>
      <w:tr w14:paraId="5E8E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2" w:type="pct"/>
            <w:vMerge w:val="continue"/>
            <w:tcBorders>
              <w:left w:val="single" w:color="000000" w:sz="8" w:space="0"/>
              <w:bottom w:val="single" w:color="000000" w:sz="8" w:space="0"/>
              <w:right w:val="single" w:color="000000" w:sz="8" w:space="0"/>
            </w:tcBorders>
            <w:shd w:val="clear" w:color="auto" w:fill="auto"/>
            <w:noWrap/>
            <w:vAlign w:val="center"/>
          </w:tcPr>
          <w:p w14:paraId="45B5B974">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p>
        </w:tc>
        <w:tc>
          <w:tcPr>
            <w:tcW w:w="2543" w:type="pct"/>
            <w:gridSpan w:val="2"/>
            <w:tcBorders>
              <w:top w:val="nil"/>
              <w:left w:val="single" w:color="000000" w:sz="8" w:space="0"/>
              <w:bottom w:val="single" w:color="000000" w:sz="8" w:space="0"/>
              <w:right w:val="single" w:color="000000" w:sz="8" w:space="0"/>
            </w:tcBorders>
            <w:shd w:val="clear" w:color="auto" w:fill="auto"/>
            <w:noWrap/>
            <w:vAlign w:val="center"/>
          </w:tcPr>
          <w:p w14:paraId="427617CA">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72E03A62">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6.0689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40A253EA">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13.21 </w:t>
            </w:r>
          </w:p>
        </w:tc>
      </w:tr>
      <w:tr w14:paraId="6845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76" w:type="pct"/>
            <w:gridSpan w:val="3"/>
            <w:tcBorders>
              <w:top w:val="nil"/>
              <w:left w:val="single" w:color="000000" w:sz="8" w:space="0"/>
              <w:bottom w:val="single" w:color="000000" w:sz="8" w:space="0"/>
              <w:right w:val="single" w:color="000000" w:sz="8" w:space="0"/>
            </w:tcBorders>
            <w:shd w:val="clear" w:color="auto" w:fill="auto"/>
            <w:noWrap/>
            <w:vAlign w:val="center"/>
          </w:tcPr>
          <w:p w14:paraId="40A16F03">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994" w:type="pct"/>
            <w:tcBorders>
              <w:top w:val="nil"/>
              <w:left w:val="single" w:color="000000" w:sz="8" w:space="0"/>
              <w:bottom w:val="single" w:color="000000" w:sz="8" w:space="0"/>
              <w:right w:val="single" w:color="000000" w:sz="8" w:space="0"/>
            </w:tcBorders>
            <w:shd w:val="clear" w:color="auto" w:fill="auto"/>
            <w:noWrap/>
            <w:vAlign w:val="center"/>
          </w:tcPr>
          <w:p w14:paraId="16E1CBED">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 xml:space="preserve">45.9447 </w:t>
            </w:r>
          </w:p>
        </w:tc>
        <w:tc>
          <w:tcPr>
            <w:tcW w:w="829" w:type="pct"/>
            <w:tcBorders>
              <w:top w:val="nil"/>
              <w:left w:val="single" w:color="000000" w:sz="8" w:space="0"/>
              <w:bottom w:val="single" w:color="000000" w:sz="8" w:space="0"/>
              <w:right w:val="single" w:color="000000" w:sz="8" w:space="0"/>
            </w:tcBorders>
            <w:shd w:val="clear" w:color="auto" w:fill="auto"/>
            <w:noWrap/>
            <w:vAlign w:val="bottom"/>
          </w:tcPr>
          <w:p w14:paraId="7ACFAC8B">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100.00 </w:t>
            </w:r>
          </w:p>
        </w:tc>
      </w:tr>
    </w:tbl>
    <w:p w14:paraId="5A1088FC">
      <w:pPr>
        <w:keepNext/>
        <w:keepLines/>
        <w:widowControl w:val="0"/>
        <w:numPr>
          <w:ilvl w:val="2"/>
          <w:numId w:val="0"/>
        </w:numPr>
        <w:bidi w:val="0"/>
        <w:spacing w:line="240" w:lineRule="auto"/>
        <w:ind w:left="720" w:leftChars="0" w:hanging="720" w:firstLineChars="0"/>
        <w:jc w:val="both"/>
        <w:outlineLvl w:val="2"/>
        <w:rPr>
          <w:rFonts w:hint="default" w:ascii="Times New Roman" w:hAnsi="Times New Roman" w:eastAsia="仿宋" w:cs="Times New Roman"/>
          <w:b/>
          <w:bCs/>
          <w:kern w:val="2"/>
          <w:sz w:val="28"/>
          <w:szCs w:val="32"/>
          <w:lang w:val="en-US" w:eastAsia="zh-CN" w:bidi="ar-SA"/>
        </w:rPr>
      </w:pPr>
      <w:r>
        <w:rPr>
          <w:rFonts w:hint="eastAsia" w:ascii="Times New Roman" w:hAnsi="Times New Roman" w:eastAsia="仿宋" w:cs="Times New Roman"/>
          <w:b/>
          <w:bCs/>
          <w:kern w:val="2"/>
          <w:sz w:val="28"/>
          <w:szCs w:val="32"/>
          <w:lang w:val="en-US" w:eastAsia="zh-CN" w:bidi="ar-SA"/>
        </w:rPr>
        <w:t>2.3.3.各片区</w:t>
      </w:r>
      <w:r>
        <w:rPr>
          <w:rFonts w:hint="default" w:ascii="Times New Roman" w:hAnsi="Times New Roman" w:eastAsia="仿宋" w:cs="Times New Roman"/>
          <w:b/>
          <w:bCs/>
          <w:kern w:val="2"/>
          <w:sz w:val="28"/>
          <w:szCs w:val="32"/>
          <w:lang w:val="en-US" w:eastAsia="zh-CN" w:bidi="ar-SA"/>
        </w:rPr>
        <w:t>范围土地利用现状</w:t>
      </w:r>
    </w:p>
    <w:p w14:paraId="276A75B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28"/>
          <w:highlight w:val="none"/>
          <w:lang w:bidi="ar-SA"/>
        </w:rPr>
      </w:pPr>
      <w:r>
        <w:rPr>
          <w:rFonts w:hint="eastAsia" w:ascii="Times New Roman" w:hAnsi="Times New Roman" w:eastAsia="仿宋" w:cs="Times New Roman"/>
          <w:b/>
          <w:bCs/>
          <w:sz w:val="28"/>
          <w:szCs w:val="32"/>
          <w:highlight w:val="none"/>
          <w:lang w:val="en-US" w:eastAsia="zh-CN" w:bidi="ar-SA"/>
        </w:rPr>
        <w:t>三甲南片区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4.2528</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4.2503</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4.2189</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0.0007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草地0.0308</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建设用地0.0024公顷，不涉及未利用地</w:t>
      </w:r>
      <w:r>
        <w:rPr>
          <w:rFonts w:hint="default" w:ascii="Times New Roman" w:hAnsi="Times New Roman" w:eastAsia="仿宋" w:cs="Times New Roman"/>
          <w:sz w:val="28"/>
          <w:szCs w:val="28"/>
          <w:highlight w:val="none"/>
          <w:lang w:bidi="ar-SA"/>
        </w:rPr>
        <w:t>。</w:t>
      </w:r>
    </w:p>
    <w:p w14:paraId="0A60BAD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36.5672</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34.0473</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32.5594</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园</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1.0600</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交通运输用地0.3758</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其他农用地0.0521公顷</w:t>
      </w:r>
      <w:r>
        <w:rPr>
          <w:rFonts w:hint="default" w:ascii="Times New Roman" w:hAnsi="Times New Roman" w:eastAsia="仿宋" w:cs="Times New Roman"/>
          <w:sz w:val="28"/>
          <w:szCs w:val="28"/>
          <w:highlight w:val="none"/>
          <w:lang w:bidi="ar-SA"/>
        </w:rPr>
        <w:t>）</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建设用地2.4808公顷，未利用地0.0391公顷</w:t>
      </w:r>
      <w:r>
        <w:rPr>
          <w:rFonts w:hint="default" w:ascii="Times New Roman" w:hAnsi="Times New Roman" w:eastAsia="仿宋" w:cs="Times New Roman"/>
          <w:sz w:val="28"/>
          <w:szCs w:val="28"/>
          <w:highlight w:val="none"/>
          <w:lang w:bidi="ar-SA"/>
        </w:rPr>
        <w:t>。</w:t>
      </w:r>
    </w:p>
    <w:p w14:paraId="4E4D526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16.8471</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0.2096</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0.0419</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交通运输用地0.1677</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建设用地16.6375公顷，不涉及未利用地</w:t>
      </w:r>
      <w:r>
        <w:rPr>
          <w:rFonts w:hint="default" w:ascii="Times New Roman" w:hAnsi="Times New Roman" w:eastAsia="仿宋" w:cs="Times New Roman"/>
          <w:sz w:val="28"/>
          <w:szCs w:val="28"/>
          <w:highlight w:val="none"/>
          <w:lang w:bidi="ar-SA"/>
        </w:rPr>
        <w:t>。</w:t>
      </w:r>
    </w:p>
    <w:p w14:paraId="48C7C87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1.9136</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0.3306</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0.2981</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交通运输用地0.0325</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建设用地1.5830公顷，不涉及未利用地</w:t>
      </w:r>
      <w:r>
        <w:rPr>
          <w:rFonts w:hint="default" w:ascii="Times New Roman" w:hAnsi="Times New Roman" w:eastAsia="仿宋" w:cs="Times New Roman"/>
          <w:sz w:val="28"/>
          <w:szCs w:val="28"/>
          <w:highlight w:val="none"/>
          <w:lang w:bidi="ar-SA"/>
        </w:rPr>
        <w:t>。</w:t>
      </w:r>
    </w:p>
    <w:p w14:paraId="5D92CDDF">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3.1105</w:t>
      </w:r>
      <w:r>
        <w:rPr>
          <w:rFonts w:hint="default" w:ascii="Times New Roman" w:hAnsi="Times New Roman" w:eastAsia="仿宋" w:cs="Times New Roman"/>
          <w:sz w:val="28"/>
          <w:szCs w:val="28"/>
          <w:highlight w:val="none"/>
          <w:lang w:bidi="ar-SA"/>
        </w:rPr>
        <w:t>公顷，其中</w:t>
      </w:r>
      <w:r>
        <w:rPr>
          <w:rFonts w:hint="eastAsia" w:ascii="Times New Roman" w:hAnsi="Times New Roman" w:eastAsia="仿宋" w:cs="Times New Roman"/>
          <w:sz w:val="28"/>
          <w:szCs w:val="28"/>
          <w:highlight w:val="none"/>
          <w:lang w:val="en-US" w:eastAsia="zh-CN" w:bidi="ar-SA"/>
        </w:rPr>
        <w:t>建设用地3.1105公顷，不涉及</w:t>
      </w:r>
      <w:r>
        <w:rPr>
          <w:rFonts w:hint="default" w:ascii="Times New Roman" w:hAnsi="Times New Roman" w:eastAsia="仿宋" w:cs="Times New Roman"/>
          <w:sz w:val="28"/>
          <w:szCs w:val="28"/>
          <w:highlight w:val="none"/>
          <w:lang w:bidi="ar-SA"/>
        </w:rPr>
        <w:t>农用地</w:t>
      </w:r>
      <w:r>
        <w:rPr>
          <w:rFonts w:hint="eastAsia" w:ascii="Times New Roman" w:hAnsi="Times New Roman" w:eastAsia="仿宋" w:cs="Times New Roman"/>
          <w:sz w:val="28"/>
          <w:szCs w:val="28"/>
          <w:highlight w:val="none"/>
          <w:lang w:val="en-US" w:eastAsia="zh-CN" w:bidi="ar-SA"/>
        </w:rPr>
        <w:t>和未利用地</w:t>
      </w:r>
      <w:r>
        <w:rPr>
          <w:rFonts w:hint="default" w:ascii="Times New Roman" w:hAnsi="Times New Roman" w:eastAsia="仿宋" w:cs="Times New Roman"/>
          <w:sz w:val="28"/>
          <w:szCs w:val="28"/>
          <w:highlight w:val="none"/>
          <w:lang w:bidi="ar-SA"/>
        </w:rPr>
        <w:t>。</w:t>
      </w:r>
    </w:p>
    <w:p w14:paraId="1F2D373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苏庄商业片区2</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4.2528</w:t>
      </w:r>
      <w:r>
        <w:rPr>
          <w:rFonts w:hint="default" w:ascii="Times New Roman" w:hAnsi="Times New Roman" w:eastAsia="仿宋" w:cs="Times New Roman"/>
          <w:sz w:val="28"/>
          <w:szCs w:val="28"/>
          <w:highlight w:val="none"/>
          <w:lang w:bidi="ar-SA"/>
        </w:rPr>
        <w:t>公顷，其中</w:t>
      </w:r>
      <w:r>
        <w:rPr>
          <w:rFonts w:hint="eastAsia" w:ascii="Times New Roman" w:hAnsi="Times New Roman" w:eastAsia="仿宋" w:cs="Times New Roman"/>
          <w:sz w:val="28"/>
          <w:szCs w:val="28"/>
          <w:highlight w:val="none"/>
          <w:lang w:val="en-US" w:eastAsia="zh-CN" w:bidi="ar-SA"/>
        </w:rPr>
        <w:t>建设用地1.0053，不涉及</w:t>
      </w:r>
      <w:r>
        <w:rPr>
          <w:rFonts w:hint="default" w:ascii="Times New Roman" w:hAnsi="Times New Roman" w:eastAsia="仿宋" w:cs="Times New Roman"/>
          <w:sz w:val="28"/>
          <w:szCs w:val="28"/>
          <w:highlight w:val="none"/>
          <w:lang w:bidi="ar-SA"/>
        </w:rPr>
        <w:t>农用地</w:t>
      </w:r>
      <w:r>
        <w:rPr>
          <w:rFonts w:hint="eastAsia" w:ascii="Times New Roman" w:hAnsi="Times New Roman" w:eastAsia="仿宋" w:cs="Times New Roman"/>
          <w:sz w:val="28"/>
          <w:szCs w:val="28"/>
          <w:highlight w:val="none"/>
          <w:lang w:val="en-US" w:eastAsia="zh-CN" w:bidi="ar-SA"/>
        </w:rPr>
        <w:t>和未利用地</w:t>
      </w:r>
      <w:r>
        <w:rPr>
          <w:rFonts w:hint="default" w:ascii="Times New Roman" w:hAnsi="Times New Roman" w:eastAsia="仿宋" w:cs="Times New Roman"/>
          <w:sz w:val="28"/>
          <w:szCs w:val="28"/>
          <w:highlight w:val="none"/>
          <w:lang w:bidi="ar-SA"/>
        </w:rPr>
        <w:t>。</w:t>
      </w:r>
    </w:p>
    <w:p w14:paraId="23F7DE3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2.1951</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1.1415</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1.0991</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0.0424</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建设用地1.0535公顷，不涉及未利用地</w:t>
      </w:r>
      <w:r>
        <w:rPr>
          <w:rFonts w:hint="default" w:ascii="Times New Roman" w:hAnsi="Times New Roman" w:eastAsia="仿宋" w:cs="Times New Roman"/>
          <w:sz w:val="28"/>
          <w:szCs w:val="28"/>
          <w:highlight w:val="none"/>
          <w:lang w:bidi="ar-SA"/>
        </w:rPr>
        <w:t>。</w:t>
      </w:r>
    </w:p>
    <w:p w14:paraId="751E695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default" w:ascii="Times New Roman" w:hAnsi="Times New Roman" w:eastAsia="仿宋" w:cs="Times New Roman"/>
          <w:sz w:val="28"/>
          <w:szCs w:val="28"/>
          <w:highlight w:val="none"/>
          <w:lang w:bidi="ar-SA"/>
        </w:rPr>
        <w:t>总面积为</w:t>
      </w:r>
      <w:r>
        <w:rPr>
          <w:rFonts w:hint="eastAsia" w:ascii="Times New Roman" w:hAnsi="Times New Roman" w:eastAsia="仿宋" w:cs="Times New Roman"/>
          <w:sz w:val="28"/>
          <w:szCs w:val="28"/>
          <w:highlight w:val="none"/>
          <w:lang w:val="en-US" w:eastAsia="zh-CN" w:bidi="ar-SA"/>
        </w:rPr>
        <w:t>0.2077</w:t>
      </w:r>
      <w:r>
        <w:rPr>
          <w:rFonts w:hint="default" w:ascii="Times New Roman" w:hAnsi="Times New Roman" w:eastAsia="仿宋" w:cs="Times New Roman"/>
          <w:sz w:val="28"/>
          <w:szCs w:val="28"/>
          <w:highlight w:val="none"/>
          <w:lang w:bidi="ar-SA"/>
        </w:rPr>
        <w:t>公顷，其中农用地面积</w:t>
      </w:r>
      <w:r>
        <w:rPr>
          <w:rFonts w:hint="eastAsia" w:ascii="Times New Roman" w:hAnsi="Times New Roman" w:eastAsia="仿宋" w:cs="Times New Roman"/>
          <w:sz w:val="28"/>
          <w:szCs w:val="28"/>
          <w:highlight w:val="none"/>
          <w:lang w:val="en-US" w:eastAsia="zh-CN" w:bidi="ar-SA"/>
        </w:rPr>
        <w:t>0.2077</w:t>
      </w:r>
      <w:r>
        <w:rPr>
          <w:rFonts w:hint="default" w:ascii="Times New Roman" w:hAnsi="Times New Roman" w:eastAsia="仿宋" w:cs="Times New Roman"/>
          <w:sz w:val="28"/>
          <w:szCs w:val="28"/>
          <w:highlight w:val="none"/>
          <w:lang w:bidi="ar-SA"/>
        </w:rPr>
        <w:t>公顷（耕地</w:t>
      </w:r>
      <w:r>
        <w:rPr>
          <w:rFonts w:hint="eastAsia" w:ascii="Times New Roman" w:hAnsi="Times New Roman" w:eastAsia="仿宋" w:cs="Times New Roman"/>
          <w:sz w:val="28"/>
          <w:szCs w:val="28"/>
          <w:highlight w:val="none"/>
          <w:lang w:val="en-US" w:eastAsia="zh-CN" w:bidi="ar-SA"/>
        </w:rPr>
        <w:t>0.1688</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val="en-US" w:eastAsia="zh-CN" w:bidi="ar-SA"/>
        </w:rPr>
        <w:t>林</w:t>
      </w:r>
      <w:r>
        <w:rPr>
          <w:rFonts w:hint="default" w:ascii="Times New Roman" w:hAnsi="Times New Roman" w:eastAsia="仿宋" w:cs="Times New Roman"/>
          <w:sz w:val="28"/>
          <w:szCs w:val="28"/>
          <w:highlight w:val="none"/>
          <w:lang w:bidi="ar-SA"/>
        </w:rPr>
        <w:t>地</w:t>
      </w:r>
      <w:r>
        <w:rPr>
          <w:rFonts w:hint="eastAsia" w:ascii="Times New Roman" w:hAnsi="Times New Roman" w:eastAsia="仿宋" w:cs="Times New Roman"/>
          <w:sz w:val="28"/>
          <w:szCs w:val="28"/>
          <w:highlight w:val="none"/>
          <w:lang w:val="en-US" w:eastAsia="zh-CN" w:bidi="ar-SA"/>
        </w:rPr>
        <w:t>0.0389</w:t>
      </w:r>
      <w:r>
        <w:rPr>
          <w:rFonts w:hint="default" w:ascii="Times New Roman" w:hAnsi="Times New Roman" w:eastAsia="仿宋" w:cs="Times New Roman"/>
          <w:sz w:val="28"/>
          <w:szCs w:val="28"/>
          <w:highlight w:val="none"/>
          <w:lang w:bidi="ar-SA"/>
        </w:rPr>
        <w:t>公顷）</w:t>
      </w:r>
      <w:r>
        <w:rPr>
          <w:rFonts w:hint="eastAsia" w:ascii="Times New Roman" w:hAnsi="Times New Roman" w:eastAsia="仿宋" w:cs="Times New Roman"/>
          <w:sz w:val="28"/>
          <w:szCs w:val="28"/>
          <w:highlight w:val="none"/>
          <w:lang w:eastAsia="zh-CN" w:bidi="ar-SA"/>
        </w:rPr>
        <w:t>，</w:t>
      </w:r>
      <w:r>
        <w:rPr>
          <w:rFonts w:hint="eastAsia" w:ascii="Times New Roman" w:hAnsi="Times New Roman" w:eastAsia="仿宋" w:cs="Times New Roman"/>
          <w:sz w:val="28"/>
          <w:szCs w:val="28"/>
          <w:highlight w:val="none"/>
          <w:lang w:val="en-US" w:eastAsia="zh-CN" w:bidi="ar-SA"/>
        </w:rPr>
        <w:t>不涉及建设用地和未利用地</w:t>
      </w:r>
      <w:r>
        <w:rPr>
          <w:rFonts w:hint="default" w:ascii="Times New Roman" w:hAnsi="Times New Roman" w:eastAsia="仿宋" w:cs="Times New Roman"/>
          <w:sz w:val="28"/>
          <w:szCs w:val="28"/>
          <w:highlight w:val="none"/>
          <w:lang w:bidi="ar-SA"/>
        </w:rPr>
        <w:t>。</w:t>
      </w:r>
    </w:p>
    <w:p w14:paraId="1FFFC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p>
    <w:p w14:paraId="79C8B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4B057D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表2-4各片区土地利用现状统计表</w:t>
      </w:r>
    </w:p>
    <w:p w14:paraId="588663AF">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 xml:space="preserve">       单位：公顷</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765"/>
        <w:gridCol w:w="941"/>
        <w:gridCol w:w="941"/>
        <w:gridCol w:w="831"/>
        <w:gridCol w:w="831"/>
        <w:gridCol w:w="831"/>
        <w:gridCol w:w="1545"/>
        <w:gridCol w:w="1327"/>
        <w:gridCol w:w="1338"/>
        <w:gridCol w:w="1106"/>
        <w:gridCol w:w="1106"/>
        <w:gridCol w:w="941"/>
      </w:tblGrid>
      <w:tr w14:paraId="7F4F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65568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编号</w:t>
            </w:r>
          </w:p>
        </w:tc>
        <w:tc>
          <w:tcPr>
            <w:tcW w:w="623" w:type="pct"/>
            <w:tcBorders>
              <w:top w:val="single" w:color="000000" w:sz="8" w:space="0"/>
              <w:left w:val="nil"/>
              <w:bottom w:val="single" w:color="000000" w:sz="8" w:space="0"/>
              <w:right w:val="single" w:color="000000" w:sz="8" w:space="0"/>
            </w:tcBorders>
            <w:shd w:val="clear" w:color="auto" w:fill="auto"/>
            <w:noWrap/>
            <w:vAlign w:val="center"/>
          </w:tcPr>
          <w:p w14:paraId="3630868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3028" w:type="pct"/>
            <w:gridSpan w:val="8"/>
            <w:tcBorders>
              <w:top w:val="single" w:color="000000" w:sz="8" w:space="0"/>
              <w:left w:val="nil"/>
              <w:bottom w:val="single" w:color="000000" w:sz="8" w:space="0"/>
              <w:right w:val="single" w:color="000000" w:sz="8" w:space="0"/>
            </w:tcBorders>
            <w:shd w:val="clear" w:color="auto" w:fill="auto"/>
            <w:noWrap/>
            <w:vAlign w:val="center"/>
          </w:tcPr>
          <w:p w14:paraId="46D494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农用地</w:t>
            </w:r>
          </w:p>
        </w:tc>
        <w:tc>
          <w:tcPr>
            <w:tcW w:w="390" w:type="pct"/>
            <w:tcBorders>
              <w:top w:val="single" w:color="000000" w:sz="8" w:space="0"/>
              <w:left w:val="nil"/>
              <w:bottom w:val="single" w:color="000000" w:sz="8" w:space="0"/>
              <w:right w:val="single" w:color="000000" w:sz="8" w:space="0"/>
            </w:tcBorders>
            <w:shd w:val="clear" w:color="auto" w:fill="auto"/>
            <w:noWrap/>
            <w:vAlign w:val="center"/>
          </w:tcPr>
          <w:p w14:paraId="3BFA148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建设用地</w:t>
            </w:r>
          </w:p>
        </w:tc>
        <w:tc>
          <w:tcPr>
            <w:tcW w:w="390" w:type="pct"/>
            <w:tcBorders>
              <w:top w:val="single" w:color="000000" w:sz="8" w:space="0"/>
              <w:left w:val="nil"/>
              <w:bottom w:val="single" w:color="000000" w:sz="8" w:space="0"/>
              <w:right w:val="single" w:color="000000" w:sz="8" w:space="0"/>
            </w:tcBorders>
            <w:shd w:val="clear" w:color="auto" w:fill="auto"/>
            <w:noWrap/>
            <w:vAlign w:val="center"/>
          </w:tcPr>
          <w:p w14:paraId="18B989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未利用地</w:t>
            </w:r>
          </w:p>
        </w:tc>
        <w:tc>
          <w:tcPr>
            <w:tcW w:w="332" w:type="pct"/>
            <w:tcBorders>
              <w:top w:val="single" w:color="000000" w:sz="8" w:space="0"/>
              <w:left w:val="nil"/>
              <w:bottom w:val="single" w:color="000000" w:sz="8" w:space="0"/>
              <w:right w:val="single" w:color="000000" w:sz="8" w:space="0"/>
            </w:tcBorders>
            <w:shd w:val="clear" w:color="auto" w:fill="auto"/>
            <w:noWrap/>
            <w:vAlign w:val="center"/>
          </w:tcPr>
          <w:p w14:paraId="6132B2F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r>
      <w:tr w14:paraId="729A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5" w:type="pct"/>
            <w:vMerge w:val="restart"/>
            <w:tcBorders>
              <w:top w:val="nil"/>
              <w:left w:val="single" w:color="000000" w:sz="8" w:space="0"/>
              <w:bottom w:val="single" w:color="000000" w:sz="8" w:space="0"/>
              <w:right w:val="single" w:color="000000" w:sz="8" w:space="0"/>
            </w:tcBorders>
            <w:shd w:val="clear" w:color="auto" w:fill="auto"/>
            <w:noWrap/>
            <w:vAlign w:val="center"/>
          </w:tcPr>
          <w:p w14:paraId="47F4E9A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23" w:type="pct"/>
            <w:vMerge w:val="restart"/>
            <w:tcBorders>
              <w:top w:val="nil"/>
              <w:left w:val="nil"/>
              <w:bottom w:val="single" w:color="000000" w:sz="8" w:space="0"/>
              <w:right w:val="single" w:color="000000" w:sz="8" w:space="0"/>
            </w:tcBorders>
            <w:shd w:val="clear" w:color="auto" w:fill="auto"/>
            <w:noWrap/>
            <w:vAlign w:val="center"/>
          </w:tcPr>
          <w:p w14:paraId="563B6C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restart"/>
            <w:tcBorders>
              <w:top w:val="nil"/>
              <w:left w:val="nil"/>
              <w:bottom w:val="single" w:color="000000" w:sz="8" w:space="0"/>
              <w:right w:val="single" w:color="000000" w:sz="8" w:space="0"/>
            </w:tcBorders>
            <w:shd w:val="clear" w:color="auto" w:fill="auto"/>
            <w:noWrap/>
            <w:vAlign w:val="center"/>
          </w:tcPr>
          <w:p w14:paraId="00E6B83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332" w:type="pct"/>
            <w:vMerge w:val="restart"/>
            <w:tcBorders>
              <w:top w:val="nil"/>
              <w:left w:val="nil"/>
              <w:bottom w:val="single" w:color="000000" w:sz="8" w:space="0"/>
              <w:right w:val="single" w:color="000000" w:sz="8" w:space="0"/>
            </w:tcBorders>
            <w:shd w:val="clear" w:color="auto" w:fill="auto"/>
            <w:noWrap/>
            <w:vAlign w:val="center"/>
          </w:tcPr>
          <w:p w14:paraId="4A86F93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耕地</w:t>
            </w:r>
          </w:p>
        </w:tc>
        <w:tc>
          <w:tcPr>
            <w:tcW w:w="293" w:type="pct"/>
            <w:vMerge w:val="restart"/>
            <w:tcBorders>
              <w:top w:val="nil"/>
              <w:left w:val="nil"/>
              <w:bottom w:val="single" w:color="000000" w:sz="8" w:space="0"/>
              <w:right w:val="single" w:color="000000" w:sz="8" w:space="0"/>
            </w:tcBorders>
            <w:shd w:val="clear" w:color="auto" w:fill="auto"/>
            <w:noWrap/>
            <w:vAlign w:val="center"/>
          </w:tcPr>
          <w:p w14:paraId="6CF04F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林地</w:t>
            </w:r>
          </w:p>
        </w:tc>
        <w:tc>
          <w:tcPr>
            <w:tcW w:w="293" w:type="pct"/>
            <w:vMerge w:val="restart"/>
            <w:tcBorders>
              <w:top w:val="nil"/>
              <w:left w:val="nil"/>
              <w:bottom w:val="single" w:color="000000" w:sz="8" w:space="0"/>
              <w:right w:val="single" w:color="000000" w:sz="8" w:space="0"/>
            </w:tcBorders>
            <w:shd w:val="clear" w:color="auto" w:fill="auto"/>
            <w:noWrap/>
            <w:vAlign w:val="center"/>
          </w:tcPr>
          <w:p w14:paraId="53FB894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园地</w:t>
            </w:r>
          </w:p>
        </w:tc>
        <w:tc>
          <w:tcPr>
            <w:tcW w:w="293" w:type="pct"/>
            <w:vMerge w:val="restart"/>
            <w:tcBorders>
              <w:top w:val="single" w:color="000000" w:sz="8" w:space="0"/>
              <w:left w:val="nil"/>
              <w:bottom w:val="single" w:color="000000" w:sz="8" w:space="0"/>
              <w:right w:val="single" w:color="000000" w:sz="8" w:space="0"/>
            </w:tcBorders>
            <w:shd w:val="clear" w:color="auto" w:fill="auto"/>
            <w:noWrap/>
            <w:vAlign w:val="center"/>
          </w:tcPr>
          <w:p w14:paraId="7B3EA4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草地</w:t>
            </w:r>
          </w:p>
        </w:tc>
        <w:tc>
          <w:tcPr>
            <w:tcW w:w="545" w:type="pct"/>
            <w:vMerge w:val="restart"/>
            <w:tcBorders>
              <w:top w:val="single" w:color="000000" w:sz="8" w:space="0"/>
              <w:left w:val="nil"/>
              <w:bottom w:val="single" w:color="000000" w:sz="8" w:space="0"/>
              <w:right w:val="single" w:color="000000" w:sz="8" w:space="0"/>
            </w:tcBorders>
            <w:shd w:val="clear" w:color="auto" w:fill="auto"/>
            <w:noWrap/>
            <w:vAlign w:val="center"/>
          </w:tcPr>
          <w:p w14:paraId="59288F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468" w:type="pct"/>
            <w:tcBorders>
              <w:top w:val="single" w:color="000000" w:sz="8" w:space="0"/>
              <w:left w:val="nil"/>
              <w:bottom w:val="nil"/>
              <w:right w:val="single" w:color="000000" w:sz="8" w:space="0"/>
            </w:tcBorders>
            <w:shd w:val="clear" w:color="auto" w:fill="auto"/>
            <w:vAlign w:val="center"/>
          </w:tcPr>
          <w:p w14:paraId="0B5900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水域及水利</w:t>
            </w:r>
          </w:p>
        </w:tc>
        <w:tc>
          <w:tcPr>
            <w:tcW w:w="468" w:type="pct"/>
            <w:vMerge w:val="restart"/>
            <w:tcBorders>
              <w:top w:val="single" w:color="000000" w:sz="8" w:space="0"/>
              <w:left w:val="nil"/>
              <w:bottom w:val="single" w:color="000000" w:sz="8" w:space="0"/>
              <w:right w:val="single" w:color="000000" w:sz="8" w:space="0"/>
            </w:tcBorders>
            <w:shd w:val="clear" w:color="auto" w:fill="auto"/>
            <w:noWrap/>
            <w:vAlign w:val="center"/>
          </w:tcPr>
          <w:p w14:paraId="17AA8D8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其他农用地</w:t>
            </w:r>
          </w:p>
        </w:tc>
        <w:tc>
          <w:tcPr>
            <w:tcW w:w="390" w:type="pct"/>
            <w:vMerge w:val="restart"/>
            <w:tcBorders>
              <w:top w:val="single" w:color="000000" w:sz="8" w:space="0"/>
              <w:left w:val="nil"/>
              <w:bottom w:val="single" w:color="000000" w:sz="8" w:space="0"/>
              <w:right w:val="single" w:color="000000" w:sz="8" w:space="0"/>
            </w:tcBorders>
            <w:shd w:val="clear" w:color="auto" w:fill="auto"/>
            <w:noWrap/>
            <w:vAlign w:val="center"/>
          </w:tcPr>
          <w:p w14:paraId="47EAEC1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0" w:type="pct"/>
            <w:vMerge w:val="restart"/>
            <w:tcBorders>
              <w:top w:val="single" w:color="000000" w:sz="8" w:space="0"/>
              <w:left w:val="nil"/>
              <w:bottom w:val="single" w:color="000000" w:sz="8" w:space="0"/>
              <w:right w:val="single" w:color="000000" w:sz="8" w:space="0"/>
            </w:tcBorders>
            <w:shd w:val="clear" w:color="auto" w:fill="auto"/>
            <w:noWrap/>
            <w:vAlign w:val="center"/>
          </w:tcPr>
          <w:p w14:paraId="757F57E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restart"/>
            <w:tcBorders>
              <w:top w:val="single" w:color="000000" w:sz="8" w:space="0"/>
              <w:left w:val="nil"/>
              <w:bottom w:val="single" w:color="000000" w:sz="8" w:space="0"/>
              <w:right w:val="single" w:color="000000" w:sz="8" w:space="0"/>
            </w:tcBorders>
            <w:shd w:val="clear" w:color="auto" w:fill="auto"/>
            <w:noWrap/>
            <w:vAlign w:val="center"/>
          </w:tcPr>
          <w:p w14:paraId="435B0D7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588D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0D9511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23" w:type="pct"/>
            <w:vMerge w:val="continue"/>
            <w:tcBorders>
              <w:top w:val="nil"/>
              <w:left w:val="nil"/>
              <w:bottom w:val="single" w:color="000000" w:sz="8" w:space="0"/>
              <w:right w:val="single" w:color="000000" w:sz="8" w:space="0"/>
            </w:tcBorders>
            <w:shd w:val="clear" w:color="auto" w:fill="auto"/>
            <w:noWrap/>
            <w:vAlign w:val="center"/>
          </w:tcPr>
          <w:p w14:paraId="654FC9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continue"/>
            <w:tcBorders>
              <w:top w:val="nil"/>
              <w:left w:val="nil"/>
              <w:bottom w:val="single" w:color="000000" w:sz="8" w:space="0"/>
              <w:right w:val="single" w:color="000000" w:sz="8" w:space="0"/>
            </w:tcBorders>
            <w:shd w:val="clear" w:color="auto" w:fill="auto"/>
            <w:noWrap/>
            <w:vAlign w:val="center"/>
          </w:tcPr>
          <w:p w14:paraId="3798617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332" w:type="pct"/>
            <w:vMerge w:val="continue"/>
            <w:tcBorders>
              <w:top w:val="nil"/>
              <w:left w:val="nil"/>
              <w:bottom w:val="single" w:color="000000" w:sz="8" w:space="0"/>
              <w:right w:val="single" w:color="000000" w:sz="8" w:space="0"/>
            </w:tcBorders>
            <w:shd w:val="clear" w:color="auto" w:fill="auto"/>
            <w:noWrap/>
            <w:vAlign w:val="center"/>
          </w:tcPr>
          <w:p w14:paraId="1CAC9E2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293" w:type="pct"/>
            <w:vMerge w:val="continue"/>
            <w:tcBorders>
              <w:top w:val="nil"/>
              <w:left w:val="nil"/>
              <w:bottom w:val="single" w:color="000000" w:sz="8" w:space="0"/>
              <w:right w:val="single" w:color="000000" w:sz="8" w:space="0"/>
            </w:tcBorders>
            <w:shd w:val="clear" w:color="auto" w:fill="auto"/>
            <w:noWrap/>
            <w:vAlign w:val="center"/>
          </w:tcPr>
          <w:p w14:paraId="5D9505D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293" w:type="pct"/>
            <w:vMerge w:val="continue"/>
            <w:tcBorders>
              <w:top w:val="nil"/>
              <w:left w:val="nil"/>
              <w:bottom w:val="single" w:color="000000" w:sz="8" w:space="0"/>
              <w:right w:val="single" w:color="000000" w:sz="8" w:space="0"/>
            </w:tcBorders>
            <w:shd w:val="clear" w:color="auto" w:fill="auto"/>
            <w:noWrap/>
            <w:vAlign w:val="center"/>
          </w:tcPr>
          <w:p w14:paraId="5F55E2F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293" w:type="pct"/>
            <w:vMerge w:val="continue"/>
            <w:tcBorders>
              <w:top w:val="single" w:color="000000" w:sz="8" w:space="0"/>
              <w:left w:val="nil"/>
              <w:bottom w:val="single" w:color="000000" w:sz="8" w:space="0"/>
              <w:right w:val="single" w:color="000000" w:sz="8" w:space="0"/>
            </w:tcBorders>
            <w:shd w:val="clear" w:color="auto" w:fill="auto"/>
            <w:noWrap/>
            <w:vAlign w:val="center"/>
          </w:tcPr>
          <w:p w14:paraId="00700FA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545" w:type="pct"/>
            <w:vMerge w:val="continue"/>
            <w:tcBorders>
              <w:top w:val="single" w:color="000000" w:sz="8" w:space="0"/>
              <w:left w:val="nil"/>
              <w:bottom w:val="single" w:color="000000" w:sz="8" w:space="0"/>
              <w:right w:val="single" w:color="000000" w:sz="8" w:space="0"/>
            </w:tcBorders>
            <w:shd w:val="clear" w:color="auto" w:fill="auto"/>
            <w:noWrap/>
            <w:vAlign w:val="center"/>
          </w:tcPr>
          <w:p w14:paraId="510529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468" w:type="pct"/>
            <w:tcBorders>
              <w:top w:val="nil"/>
              <w:left w:val="nil"/>
              <w:bottom w:val="single" w:color="000000" w:sz="8" w:space="0"/>
              <w:right w:val="single" w:color="000000" w:sz="8" w:space="0"/>
            </w:tcBorders>
            <w:shd w:val="clear" w:color="auto" w:fill="auto"/>
            <w:vAlign w:val="center"/>
          </w:tcPr>
          <w:p w14:paraId="5DDBD24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设施用地</w:t>
            </w:r>
          </w:p>
        </w:tc>
        <w:tc>
          <w:tcPr>
            <w:tcW w:w="468" w:type="pct"/>
            <w:vMerge w:val="continue"/>
            <w:tcBorders>
              <w:top w:val="single" w:color="000000" w:sz="8" w:space="0"/>
              <w:left w:val="nil"/>
              <w:bottom w:val="single" w:color="000000" w:sz="8" w:space="0"/>
              <w:right w:val="single" w:color="000000" w:sz="8" w:space="0"/>
            </w:tcBorders>
            <w:shd w:val="clear" w:color="auto" w:fill="auto"/>
            <w:noWrap/>
            <w:vAlign w:val="center"/>
          </w:tcPr>
          <w:p w14:paraId="0980376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390" w:type="pct"/>
            <w:vMerge w:val="continue"/>
            <w:tcBorders>
              <w:top w:val="single" w:color="000000" w:sz="8" w:space="0"/>
              <w:left w:val="nil"/>
              <w:bottom w:val="single" w:color="000000" w:sz="8" w:space="0"/>
              <w:right w:val="single" w:color="000000" w:sz="8" w:space="0"/>
            </w:tcBorders>
            <w:shd w:val="clear" w:color="auto" w:fill="auto"/>
            <w:noWrap/>
            <w:vAlign w:val="center"/>
          </w:tcPr>
          <w:p w14:paraId="01DA62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0" w:type="pct"/>
            <w:vMerge w:val="continue"/>
            <w:tcBorders>
              <w:top w:val="single" w:color="000000" w:sz="8" w:space="0"/>
              <w:left w:val="nil"/>
              <w:bottom w:val="single" w:color="000000" w:sz="8" w:space="0"/>
              <w:right w:val="single" w:color="000000" w:sz="8" w:space="0"/>
            </w:tcBorders>
            <w:shd w:val="clear" w:color="auto" w:fill="auto"/>
            <w:noWrap/>
            <w:vAlign w:val="center"/>
          </w:tcPr>
          <w:p w14:paraId="79989F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2" w:type="pct"/>
            <w:vMerge w:val="continue"/>
            <w:tcBorders>
              <w:top w:val="single" w:color="000000" w:sz="8" w:space="0"/>
              <w:left w:val="nil"/>
              <w:bottom w:val="single" w:color="000000" w:sz="8" w:space="0"/>
              <w:right w:val="single" w:color="000000" w:sz="8" w:space="0"/>
            </w:tcBorders>
            <w:shd w:val="clear" w:color="auto" w:fill="auto"/>
            <w:noWrap/>
            <w:vAlign w:val="center"/>
          </w:tcPr>
          <w:p w14:paraId="2F0A1F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5FE3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6296C82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623" w:type="pct"/>
            <w:tcBorders>
              <w:top w:val="nil"/>
              <w:left w:val="nil"/>
              <w:bottom w:val="single" w:color="000000" w:sz="8" w:space="0"/>
              <w:right w:val="single" w:color="000000" w:sz="8" w:space="0"/>
            </w:tcBorders>
            <w:shd w:val="clear" w:color="auto" w:fill="auto"/>
            <w:noWrap/>
            <w:vAlign w:val="bottom"/>
          </w:tcPr>
          <w:p w14:paraId="78EC9C7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332" w:type="pct"/>
            <w:tcBorders>
              <w:top w:val="nil"/>
              <w:left w:val="nil"/>
              <w:bottom w:val="single" w:color="000000" w:sz="8" w:space="0"/>
              <w:right w:val="single" w:color="000000" w:sz="8" w:space="0"/>
            </w:tcBorders>
            <w:shd w:val="clear" w:color="auto" w:fill="auto"/>
            <w:noWrap/>
            <w:vAlign w:val="center"/>
          </w:tcPr>
          <w:p w14:paraId="124A336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4.2503 </w:t>
            </w:r>
          </w:p>
        </w:tc>
        <w:tc>
          <w:tcPr>
            <w:tcW w:w="332" w:type="pct"/>
            <w:tcBorders>
              <w:top w:val="nil"/>
              <w:left w:val="nil"/>
              <w:bottom w:val="single" w:color="000000" w:sz="8" w:space="0"/>
              <w:right w:val="single" w:color="000000" w:sz="8" w:space="0"/>
            </w:tcBorders>
            <w:shd w:val="clear" w:color="auto" w:fill="auto"/>
            <w:noWrap/>
            <w:vAlign w:val="center"/>
          </w:tcPr>
          <w:p w14:paraId="24CB29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4.2189 </w:t>
            </w:r>
          </w:p>
        </w:tc>
        <w:tc>
          <w:tcPr>
            <w:tcW w:w="293" w:type="pct"/>
            <w:tcBorders>
              <w:top w:val="nil"/>
              <w:left w:val="nil"/>
              <w:bottom w:val="single" w:color="000000" w:sz="8" w:space="0"/>
              <w:right w:val="single" w:color="000000" w:sz="8" w:space="0"/>
            </w:tcBorders>
            <w:shd w:val="clear" w:color="auto" w:fill="auto"/>
            <w:noWrap/>
            <w:vAlign w:val="center"/>
          </w:tcPr>
          <w:p w14:paraId="11F939B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0.0007 </w:t>
            </w:r>
          </w:p>
        </w:tc>
        <w:tc>
          <w:tcPr>
            <w:tcW w:w="293" w:type="pct"/>
            <w:tcBorders>
              <w:top w:val="nil"/>
              <w:left w:val="nil"/>
              <w:bottom w:val="single" w:color="000000" w:sz="8" w:space="0"/>
              <w:right w:val="single" w:color="000000" w:sz="8" w:space="0"/>
            </w:tcBorders>
            <w:shd w:val="clear" w:color="auto" w:fill="auto"/>
            <w:noWrap/>
            <w:vAlign w:val="center"/>
          </w:tcPr>
          <w:p w14:paraId="5ACE82E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00266E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0.0308 </w:t>
            </w:r>
          </w:p>
        </w:tc>
        <w:tc>
          <w:tcPr>
            <w:tcW w:w="545" w:type="pct"/>
            <w:tcBorders>
              <w:top w:val="nil"/>
              <w:left w:val="nil"/>
              <w:bottom w:val="single" w:color="000000" w:sz="8" w:space="0"/>
              <w:right w:val="single" w:color="000000" w:sz="8" w:space="0"/>
            </w:tcBorders>
            <w:shd w:val="clear" w:color="auto" w:fill="auto"/>
            <w:noWrap/>
            <w:vAlign w:val="center"/>
          </w:tcPr>
          <w:p w14:paraId="607C8D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601E57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4205993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7963FE7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0.0024 </w:t>
            </w:r>
          </w:p>
        </w:tc>
        <w:tc>
          <w:tcPr>
            <w:tcW w:w="390" w:type="pct"/>
            <w:tcBorders>
              <w:top w:val="nil"/>
              <w:left w:val="nil"/>
              <w:bottom w:val="single" w:color="000000" w:sz="8" w:space="0"/>
              <w:right w:val="single" w:color="000000" w:sz="8" w:space="0"/>
            </w:tcBorders>
            <w:shd w:val="clear" w:color="auto" w:fill="auto"/>
            <w:noWrap/>
            <w:vAlign w:val="center"/>
          </w:tcPr>
          <w:p w14:paraId="0800A75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14C4BE7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4.2528 </w:t>
            </w:r>
          </w:p>
        </w:tc>
      </w:tr>
      <w:tr w14:paraId="060C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5A1A139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623" w:type="pct"/>
            <w:tcBorders>
              <w:top w:val="nil"/>
              <w:left w:val="nil"/>
              <w:bottom w:val="single" w:color="000000" w:sz="8" w:space="0"/>
              <w:right w:val="single" w:color="000000" w:sz="8" w:space="0"/>
            </w:tcBorders>
            <w:shd w:val="clear" w:color="auto" w:fill="auto"/>
            <w:noWrap/>
            <w:vAlign w:val="bottom"/>
          </w:tcPr>
          <w:p w14:paraId="64DAE7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332" w:type="pct"/>
            <w:tcBorders>
              <w:top w:val="nil"/>
              <w:left w:val="nil"/>
              <w:bottom w:val="single" w:color="000000" w:sz="8" w:space="0"/>
              <w:right w:val="single" w:color="000000" w:sz="8" w:space="0"/>
            </w:tcBorders>
            <w:shd w:val="clear" w:color="auto" w:fill="auto"/>
            <w:noWrap/>
            <w:vAlign w:val="center"/>
          </w:tcPr>
          <w:p w14:paraId="5048D6F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34.0473 </w:t>
            </w:r>
          </w:p>
        </w:tc>
        <w:tc>
          <w:tcPr>
            <w:tcW w:w="332" w:type="pct"/>
            <w:tcBorders>
              <w:top w:val="nil"/>
              <w:left w:val="nil"/>
              <w:bottom w:val="single" w:color="000000" w:sz="8" w:space="0"/>
              <w:right w:val="single" w:color="000000" w:sz="8" w:space="0"/>
            </w:tcBorders>
            <w:shd w:val="clear" w:color="auto" w:fill="auto"/>
            <w:noWrap/>
            <w:vAlign w:val="center"/>
          </w:tcPr>
          <w:p w14:paraId="1F2CC6E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32.5594 </w:t>
            </w:r>
          </w:p>
        </w:tc>
        <w:tc>
          <w:tcPr>
            <w:tcW w:w="293" w:type="pct"/>
            <w:tcBorders>
              <w:top w:val="nil"/>
              <w:left w:val="nil"/>
              <w:bottom w:val="single" w:color="000000" w:sz="8" w:space="0"/>
              <w:right w:val="single" w:color="000000" w:sz="8" w:space="0"/>
            </w:tcBorders>
            <w:shd w:val="clear" w:color="auto" w:fill="auto"/>
            <w:noWrap/>
            <w:vAlign w:val="center"/>
          </w:tcPr>
          <w:p w14:paraId="02F93B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7E2D3C4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1.0600 </w:t>
            </w:r>
          </w:p>
        </w:tc>
        <w:tc>
          <w:tcPr>
            <w:tcW w:w="293" w:type="pct"/>
            <w:tcBorders>
              <w:top w:val="nil"/>
              <w:left w:val="nil"/>
              <w:bottom w:val="single" w:color="000000" w:sz="8" w:space="0"/>
              <w:right w:val="single" w:color="000000" w:sz="8" w:space="0"/>
            </w:tcBorders>
            <w:shd w:val="clear" w:color="auto" w:fill="auto"/>
            <w:noWrap/>
            <w:vAlign w:val="center"/>
          </w:tcPr>
          <w:p w14:paraId="22F4AF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47108A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0.3758 </w:t>
            </w:r>
          </w:p>
        </w:tc>
        <w:tc>
          <w:tcPr>
            <w:tcW w:w="468" w:type="pct"/>
            <w:tcBorders>
              <w:top w:val="nil"/>
              <w:left w:val="nil"/>
              <w:bottom w:val="single" w:color="000000" w:sz="8" w:space="0"/>
              <w:right w:val="single" w:color="000000" w:sz="8" w:space="0"/>
            </w:tcBorders>
            <w:shd w:val="clear" w:color="auto" w:fill="auto"/>
            <w:noWrap/>
            <w:vAlign w:val="center"/>
          </w:tcPr>
          <w:p w14:paraId="7B61C1E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16C3E0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0.0521 </w:t>
            </w:r>
          </w:p>
        </w:tc>
        <w:tc>
          <w:tcPr>
            <w:tcW w:w="390" w:type="pct"/>
            <w:tcBorders>
              <w:top w:val="nil"/>
              <w:left w:val="nil"/>
              <w:bottom w:val="single" w:color="000000" w:sz="8" w:space="0"/>
              <w:right w:val="single" w:color="000000" w:sz="8" w:space="0"/>
            </w:tcBorders>
            <w:shd w:val="clear" w:color="auto" w:fill="auto"/>
            <w:noWrap/>
            <w:vAlign w:val="center"/>
          </w:tcPr>
          <w:p w14:paraId="7A32C0F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2.4808 </w:t>
            </w:r>
          </w:p>
        </w:tc>
        <w:tc>
          <w:tcPr>
            <w:tcW w:w="390" w:type="pct"/>
            <w:tcBorders>
              <w:top w:val="nil"/>
              <w:left w:val="nil"/>
              <w:bottom w:val="single" w:color="000000" w:sz="8" w:space="0"/>
              <w:right w:val="single" w:color="000000" w:sz="8" w:space="0"/>
            </w:tcBorders>
            <w:shd w:val="clear" w:color="auto" w:fill="auto"/>
            <w:noWrap/>
            <w:vAlign w:val="center"/>
          </w:tcPr>
          <w:p w14:paraId="6BB80AC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0.0391 </w:t>
            </w:r>
          </w:p>
        </w:tc>
        <w:tc>
          <w:tcPr>
            <w:tcW w:w="332" w:type="pct"/>
            <w:tcBorders>
              <w:top w:val="nil"/>
              <w:left w:val="nil"/>
              <w:bottom w:val="single" w:color="000000" w:sz="8" w:space="0"/>
              <w:right w:val="single" w:color="000000" w:sz="8" w:space="0"/>
            </w:tcBorders>
            <w:shd w:val="clear" w:color="auto" w:fill="auto"/>
            <w:noWrap/>
            <w:vAlign w:val="center"/>
          </w:tcPr>
          <w:p w14:paraId="7395EB6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36.5672 </w:t>
            </w:r>
          </w:p>
        </w:tc>
      </w:tr>
      <w:tr w14:paraId="56AB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310480E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623" w:type="pct"/>
            <w:tcBorders>
              <w:top w:val="nil"/>
              <w:left w:val="nil"/>
              <w:bottom w:val="single" w:color="000000" w:sz="8" w:space="0"/>
              <w:right w:val="single" w:color="000000" w:sz="8" w:space="0"/>
            </w:tcBorders>
            <w:shd w:val="clear" w:color="auto" w:fill="auto"/>
            <w:noWrap/>
            <w:vAlign w:val="bottom"/>
          </w:tcPr>
          <w:p w14:paraId="6F5253E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332" w:type="pct"/>
            <w:tcBorders>
              <w:top w:val="nil"/>
              <w:left w:val="nil"/>
              <w:bottom w:val="single" w:color="000000" w:sz="8" w:space="0"/>
              <w:right w:val="single" w:color="000000" w:sz="8" w:space="0"/>
            </w:tcBorders>
            <w:shd w:val="clear" w:color="auto" w:fill="auto"/>
            <w:noWrap/>
            <w:vAlign w:val="center"/>
          </w:tcPr>
          <w:p w14:paraId="000E6B4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0.2096 </w:t>
            </w:r>
          </w:p>
        </w:tc>
        <w:tc>
          <w:tcPr>
            <w:tcW w:w="332" w:type="pct"/>
            <w:tcBorders>
              <w:top w:val="nil"/>
              <w:left w:val="nil"/>
              <w:bottom w:val="single" w:color="000000" w:sz="8" w:space="0"/>
              <w:right w:val="single" w:color="000000" w:sz="8" w:space="0"/>
            </w:tcBorders>
            <w:shd w:val="clear" w:color="auto" w:fill="auto"/>
            <w:noWrap/>
            <w:vAlign w:val="center"/>
          </w:tcPr>
          <w:p w14:paraId="6F069A2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0.0419 </w:t>
            </w:r>
          </w:p>
        </w:tc>
        <w:tc>
          <w:tcPr>
            <w:tcW w:w="293" w:type="pct"/>
            <w:tcBorders>
              <w:top w:val="nil"/>
              <w:left w:val="nil"/>
              <w:bottom w:val="single" w:color="000000" w:sz="8" w:space="0"/>
              <w:right w:val="single" w:color="000000" w:sz="8" w:space="0"/>
            </w:tcBorders>
            <w:shd w:val="clear" w:color="auto" w:fill="auto"/>
            <w:noWrap/>
            <w:vAlign w:val="center"/>
          </w:tcPr>
          <w:p w14:paraId="5910BAD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7CE836B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07AD4F0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1FB5998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0.1677 </w:t>
            </w:r>
          </w:p>
        </w:tc>
        <w:tc>
          <w:tcPr>
            <w:tcW w:w="468" w:type="pct"/>
            <w:tcBorders>
              <w:top w:val="nil"/>
              <w:left w:val="nil"/>
              <w:bottom w:val="single" w:color="000000" w:sz="8" w:space="0"/>
              <w:right w:val="single" w:color="000000" w:sz="8" w:space="0"/>
            </w:tcBorders>
            <w:shd w:val="clear" w:color="auto" w:fill="auto"/>
            <w:noWrap/>
            <w:vAlign w:val="center"/>
          </w:tcPr>
          <w:p w14:paraId="075EAC9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5824CA2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66BC07D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16.6375 </w:t>
            </w:r>
          </w:p>
        </w:tc>
        <w:tc>
          <w:tcPr>
            <w:tcW w:w="390" w:type="pct"/>
            <w:tcBorders>
              <w:top w:val="nil"/>
              <w:left w:val="nil"/>
              <w:bottom w:val="single" w:color="000000" w:sz="8" w:space="0"/>
              <w:right w:val="single" w:color="000000" w:sz="8" w:space="0"/>
            </w:tcBorders>
            <w:shd w:val="clear" w:color="auto" w:fill="auto"/>
            <w:noWrap/>
            <w:vAlign w:val="center"/>
          </w:tcPr>
          <w:p w14:paraId="3756749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68EF13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16.8471 </w:t>
            </w:r>
          </w:p>
        </w:tc>
      </w:tr>
      <w:tr w14:paraId="7370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33C701B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623" w:type="pct"/>
            <w:tcBorders>
              <w:top w:val="nil"/>
              <w:left w:val="nil"/>
              <w:bottom w:val="single" w:color="000000" w:sz="8" w:space="0"/>
              <w:right w:val="single" w:color="000000" w:sz="8" w:space="0"/>
            </w:tcBorders>
            <w:shd w:val="clear" w:color="auto" w:fill="auto"/>
            <w:noWrap/>
            <w:vAlign w:val="bottom"/>
          </w:tcPr>
          <w:p w14:paraId="30C32F2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332" w:type="pct"/>
            <w:tcBorders>
              <w:top w:val="nil"/>
              <w:left w:val="nil"/>
              <w:bottom w:val="single" w:color="000000" w:sz="8" w:space="0"/>
              <w:right w:val="single" w:color="000000" w:sz="8" w:space="0"/>
            </w:tcBorders>
            <w:shd w:val="clear" w:color="auto" w:fill="auto"/>
            <w:noWrap/>
            <w:vAlign w:val="center"/>
          </w:tcPr>
          <w:p w14:paraId="1F6B0B7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0.3306 </w:t>
            </w:r>
          </w:p>
        </w:tc>
        <w:tc>
          <w:tcPr>
            <w:tcW w:w="332" w:type="pct"/>
            <w:tcBorders>
              <w:top w:val="nil"/>
              <w:left w:val="nil"/>
              <w:bottom w:val="single" w:color="000000" w:sz="8" w:space="0"/>
              <w:right w:val="single" w:color="000000" w:sz="8" w:space="0"/>
            </w:tcBorders>
            <w:shd w:val="clear" w:color="auto" w:fill="auto"/>
            <w:noWrap/>
            <w:vAlign w:val="center"/>
          </w:tcPr>
          <w:p w14:paraId="23D16C3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2AD31D4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0.2981 </w:t>
            </w:r>
          </w:p>
        </w:tc>
        <w:tc>
          <w:tcPr>
            <w:tcW w:w="293" w:type="pct"/>
            <w:tcBorders>
              <w:top w:val="nil"/>
              <w:left w:val="nil"/>
              <w:bottom w:val="single" w:color="000000" w:sz="8" w:space="0"/>
              <w:right w:val="single" w:color="000000" w:sz="8" w:space="0"/>
            </w:tcBorders>
            <w:shd w:val="clear" w:color="auto" w:fill="auto"/>
            <w:noWrap/>
            <w:vAlign w:val="center"/>
          </w:tcPr>
          <w:p w14:paraId="7BAA0A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1981E86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494CCC8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0.0325 </w:t>
            </w:r>
          </w:p>
        </w:tc>
        <w:tc>
          <w:tcPr>
            <w:tcW w:w="468" w:type="pct"/>
            <w:tcBorders>
              <w:top w:val="nil"/>
              <w:left w:val="nil"/>
              <w:bottom w:val="single" w:color="000000" w:sz="8" w:space="0"/>
              <w:right w:val="single" w:color="000000" w:sz="8" w:space="0"/>
            </w:tcBorders>
            <w:shd w:val="clear" w:color="auto" w:fill="auto"/>
            <w:noWrap/>
            <w:vAlign w:val="center"/>
          </w:tcPr>
          <w:p w14:paraId="1EE9068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62D7A77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219B3D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1.5830 </w:t>
            </w:r>
          </w:p>
        </w:tc>
        <w:tc>
          <w:tcPr>
            <w:tcW w:w="390" w:type="pct"/>
            <w:tcBorders>
              <w:top w:val="nil"/>
              <w:left w:val="nil"/>
              <w:bottom w:val="single" w:color="000000" w:sz="8" w:space="0"/>
              <w:right w:val="single" w:color="000000" w:sz="8" w:space="0"/>
            </w:tcBorders>
            <w:shd w:val="clear" w:color="auto" w:fill="auto"/>
            <w:noWrap/>
            <w:vAlign w:val="center"/>
          </w:tcPr>
          <w:p w14:paraId="543653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5BEF281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1.9136 </w:t>
            </w:r>
          </w:p>
        </w:tc>
      </w:tr>
      <w:tr w14:paraId="0B7E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4DF1405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623" w:type="pct"/>
            <w:tcBorders>
              <w:top w:val="nil"/>
              <w:left w:val="nil"/>
              <w:bottom w:val="single" w:color="000000" w:sz="8" w:space="0"/>
              <w:right w:val="single" w:color="000000" w:sz="8" w:space="0"/>
            </w:tcBorders>
            <w:shd w:val="clear" w:color="auto" w:fill="auto"/>
            <w:noWrap/>
            <w:vAlign w:val="bottom"/>
          </w:tcPr>
          <w:p w14:paraId="475602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332" w:type="pct"/>
            <w:tcBorders>
              <w:top w:val="nil"/>
              <w:left w:val="nil"/>
              <w:bottom w:val="single" w:color="000000" w:sz="8" w:space="0"/>
              <w:right w:val="single" w:color="000000" w:sz="8" w:space="0"/>
            </w:tcBorders>
            <w:shd w:val="clear" w:color="auto" w:fill="auto"/>
            <w:noWrap/>
            <w:vAlign w:val="center"/>
          </w:tcPr>
          <w:p w14:paraId="128052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0DF0A37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30E4B74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19C20BB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2B3FF19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767804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5C794BB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1C19C69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71B86FA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3.1105 </w:t>
            </w:r>
          </w:p>
        </w:tc>
        <w:tc>
          <w:tcPr>
            <w:tcW w:w="390" w:type="pct"/>
            <w:tcBorders>
              <w:top w:val="nil"/>
              <w:left w:val="nil"/>
              <w:bottom w:val="single" w:color="000000" w:sz="8" w:space="0"/>
              <w:right w:val="single" w:color="000000" w:sz="8" w:space="0"/>
            </w:tcBorders>
            <w:shd w:val="clear" w:color="auto" w:fill="auto"/>
            <w:noWrap/>
            <w:vAlign w:val="center"/>
          </w:tcPr>
          <w:p w14:paraId="4DC59F4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45FB512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3.1105 </w:t>
            </w:r>
          </w:p>
        </w:tc>
      </w:tr>
      <w:tr w14:paraId="544B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04E09E9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623" w:type="pct"/>
            <w:tcBorders>
              <w:top w:val="nil"/>
              <w:left w:val="nil"/>
              <w:bottom w:val="single" w:color="000000" w:sz="8" w:space="0"/>
              <w:right w:val="single" w:color="000000" w:sz="8" w:space="0"/>
            </w:tcBorders>
            <w:shd w:val="clear" w:color="auto" w:fill="auto"/>
            <w:noWrap/>
            <w:vAlign w:val="bottom"/>
          </w:tcPr>
          <w:p w14:paraId="398224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332" w:type="pct"/>
            <w:tcBorders>
              <w:top w:val="nil"/>
              <w:left w:val="nil"/>
              <w:bottom w:val="single" w:color="000000" w:sz="8" w:space="0"/>
              <w:right w:val="single" w:color="000000" w:sz="8" w:space="0"/>
            </w:tcBorders>
            <w:shd w:val="clear" w:color="auto" w:fill="auto"/>
            <w:noWrap/>
            <w:vAlign w:val="center"/>
          </w:tcPr>
          <w:p w14:paraId="6C3145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6F1001D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3F3E9C8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35C133C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2C95C19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6805280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5151E3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0D4DA9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4A1B2B0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1.0053 </w:t>
            </w:r>
          </w:p>
        </w:tc>
        <w:tc>
          <w:tcPr>
            <w:tcW w:w="390" w:type="pct"/>
            <w:tcBorders>
              <w:top w:val="nil"/>
              <w:left w:val="nil"/>
              <w:bottom w:val="single" w:color="000000" w:sz="8" w:space="0"/>
              <w:right w:val="single" w:color="000000" w:sz="8" w:space="0"/>
            </w:tcBorders>
            <w:shd w:val="clear" w:color="auto" w:fill="auto"/>
            <w:noWrap/>
            <w:vAlign w:val="center"/>
          </w:tcPr>
          <w:p w14:paraId="406A0B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31197F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1.0053 </w:t>
            </w:r>
          </w:p>
        </w:tc>
      </w:tr>
      <w:tr w14:paraId="3124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2545BE4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623" w:type="pct"/>
            <w:tcBorders>
              <w:top w:val="nil"/>
              <w:left w:val="nil"/>
              <w:bottom w:val="single" w:color="000000" w:sz="8" w:space="0"/>
              <w:right w:val="single" w:color="000000" w:sz="8" w:space="0"/>
            </w:tcBorders>
            <w:shd w:val="clear" w:color="auto" w:fill="auto"/>
            <w:noWrap/>
            <w:vAlign w:val="bottom"/>
          </w:tcPr>
          <w:p w14:paraId="1DC767F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332" w:type="pct"/>
            <w:tcBorders>
              <w:top w:val="nil"/>
              <w:left w:val="nil"/>
              <w:bottom w:val="single" w:color="000000" w:sz="8" w:space="0"/>
              <w:right w:val="single" w:color="000000" w:sz="8" w:space="0"/>
            </w:tcBorders>
            <w:shd w:val="clear" w:color="auto" w:fill="auto"/>
            <w:noWrap/>
            <w:vAlign w:val="center"/>
          </w:tcPr>
          <w:p w14:paraId="5F9BFD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1.1415 </w:t>
            </w:r>
          </w:p>
        </w:tc>
        <w:tc>
          <w:tcPr>
            <w:tcW w:w="332" w:type="pct"/>
            <w:tcBorders>
              <w:top w:val="nil"/>
              <w:left w:val="nil"/>
              <w:bottom w:val="single" w:color="000000" w:sz="8" w:space="0"/>
              <w:right w:val="single" w:color="000000" w:sz="8" w:space="0"/>
            </w:tcBorders>
            <w:shd w:val="clear" w:color="auto" w:fill="auto"/>
            <w:noWrap/>
            <w:vAlign w:val="center"/>
          </w:tcPr>
          <w:p w14:paraId="1010FC7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1.0991 </w:t>
            </w:r>
          </w:p>
        </w:tc>
        <w:tc>
          <w:tcPr>
            <w:tcW w:w="293" w:type="pct"/>
            <w:tcBorders>
              <w:top w:val="nil"/>
              <w:left w:val="nil"/>
              <w:bottom w:val="single" w:color="000000" w:sz="8" w:space="0"/>
              <w:right w:val="single" w:color="000000" w:sz="8" w:space="0"/>
            </w:tcBorders>
            <w:shd w:val="clear" w:color="auto" w:fill="auto"/>
            <w:noWrap/>
            <w:vAlign w:val="center"/>
          </w:tcPr>
          <w:p w14:paraId="0E01B3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0.0424 </w:t>
            </w:r>
          </w:p>
        </w:tc>
        <w:tc>
          <w:tcPr>
            <w:tcW w:w="293" w:type="pct"/>
            <w:tcBorders>
              <w:top w:val="nil"/>
              <w:left w:val="nil"/>
              <w:bottom w:val="single" w:color="000000" w:sz="8" w:space="0"/>
              <w:right w:val="single" w:color="000000" w:sz="8" w:space="0"/>
            </w:tcBorders>
            <w:shd w:val="clear" w:color="auto" w:fill="auto"/>
            <w:noWrap/>
            <w:vAlign w:val="center"/>
          </w:tcPr>
          <w:p w14:paraId="6A1C31F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04DC1F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25B043A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6EA5A50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493B2E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4305112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1.0535 </w:t>
            </w:r>
          </w:p>
        </w:tc>
        <w:tc>
          <w:tcPr>
            <w:tcW w:w="390" w:type="pct"/>
            <w:tcBorders>
              <w:top w:val="nil"/>
              <w:left w:val="nil"/>
              <w:bottom w:val="single" w:color="000000" w:sz="8" w:space="0"/>
              <w:right w:val="single" w:color="000000" w:sz="8" w:space="0"/>
            </w:tcBorders>
            <w:shd w:val="clear" w:color="auto" w:fill="auto"/>
            <w:noWrap/>
            <w:vAlign w:val="center"/>
          </w:tcPr>
          <w:p w14:paraId="6C9C9E3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19905C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2.1951 </w:t>
            </w:r>
          </w:p>
        </w:tc>
      </w:tr>
      <w:tr w14:paraId="5861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tcBorders>
              <w:top w:val="nil"/>
              <w:left w:val="single" w:color="000000" w:sz="8" w:space="0"/>
              <w:bottom w:val="single" w:color="000000" w:sz="8" w:space="0"/>
              <w:right w:val="single" w:color="000000" w:sz="8" w:space="0"/>
            </w:tcBorders>
            <w:shd w:val="clear" w:color="auto" w:fill="auto"/>
            <w:noWrap/>
            <w:vAlign w:val="center"/>
          </w:tcPr>
          <w:p w14:paraId="761FE1F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623" w:type="pct"/>
            <w:tcBorders>
              <w:top w:val="nil"/>
              <w:left w:val="nil"/>
              <w:bottom w:val="single" w:color="000000" w:sz="8" w:space="0"/>
              <w:right w:val="single" w:color="000000" w:sz="8" w:space="0"/>
            </w:tcBorders>
            <w:shd w:val="clear" w:color="auto" w:fill="auto"/>
            <w:noWrap/>
            <w:vAlign w:val="bottom"/>
          </w:tcPr>
          <w:p w14:paraId="238625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332" w:type="pct"/>
            <w:tcBorders>
              <w:top w:val="nil"/>
              <w:left w:val="nil"/>
              <w:bottom w:val="single" w:color="000000" w:sz="8" w:space="0"/>
              <w:right w:val="single" w:color="000000" w:sz="8" w:space="0"/>
            </w:tcBorders>
            <w:shd w:val="clear" w:color="auto" w:fill="auto"/>
            <w:noWrap/>
            <w:vAlign w:val="center"/>
          </w:tcPr>
          <w:p w14:paraId="38EC7B7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0.2077 </w:t>
            </w:r>
          </w:p>
        </w:tc>
        <w:tc>
          <w:tcPr>
            <w:tcW w:w="332" w:type="pct"/>
            <w:tcBorders>
              <w:top w:val="nil"/>
              <w:left w:val="nil"/>
              <w:bottom w:val="single" w:color="000000" w:sz="8" w:space="0"/>
              <w:right w:val="single" w:color="000000" w:sz="8" w:space="0"/>
            </w:tcBorders>
            <w:shd w:val="clear" w:color="auto" w:fill="auto"/>
            <w:noWrap/>
            <w:vAlign w:val="center"/>
          </w:tcPr>
          <w:p w14:paraId="2C2D20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0.1688 </w:t>
            </w:r>
          </w:p>
        </w:tc>
        <w:tc>
          <w:tcPr>
            <w:tcW w:w="293" w:type="pct"/>
            <w:tcBorders>
              <w:top w:val="nil"/>
              <w:left w:val="nil"/>
              <w:bottom w:val="single" w:color="000000" w:sz="8" w:space="0"/>
              <w:right w:val="single" w:color="000000" w:sz="8" w:space="0"/>
            </w:tcBorders>
            <w:shd w:val="clear" w:color="auto" w:fill="auto"/>
            <w:noWrap/>
            <w:vAlign w:val="center"/>
          </w:tcPr>
          <w:p w14:paraId="4B02483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0.0389 </w:t>
            </w:r>
          </w:p>
        </w:tc>
        <w:tc>
          <w:tcPr>
            <w:tcW w:w="293" w:type="pct"/>
            <w:tcBorders>
              <w:top w:val="nil"/>
              <w:left w:val="nil"/>
              <w:bottom w:val="single" w:color="000000" w:sz="8" w:space="0"/>
              <w:right w:val="single" w:color="000000" w:sz="8" w:space="0"/>
            </w:tcBorders>
            <w:shd w:val="clear" w:color="auto" w:fill="auto"/>
            <w:noWrap/>
            <w:vAlign w:val="center"/>
          </w:tcPr>
          <w:p w14:paraId="5BC22E8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293" w:type="pct"/>
            <w:tcBorders>
              <w:top w:val="nil"/>
              <w:left w:val="nil"/>
              <w:bottom w:val="single" w:color="000000" w:sz="8" w:space="0"/>
              <w:right w:val="single" w:color="000000" w:sz="8" w:space="0"/>
            </w:tcBorders>
            <w:shd w:val="clear" w:color="auto" w:fill="auto"/>
            <w:noWrap/>
            <w:vAlign w:val="center"/>
          </w:tcPr>
          <w:p w14:paraId="66F79C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545" w:type="pct"/>
            <w:tcBorders>
              <w:top w:val="nil"/>
              <w:left w:val="nil"/>
              <w:bottom w:val="single" w:color="000000" w:sz="8" w:space="0"/>
              <w:right w:val="single" w:color="000000" w:sz="8" w:space="0"/>
            </w:tcBorders>
            <w:shd w:val="clear" w:color="auto" w:fill="auto"/>
            <w:noWrap/>
            <w:vAlign w:val="center"/>
          </w:tcPr>
          <w:p w14:paraId="250B9D0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485B69F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468" w:type="pct"/>
            <w:tcBorders>
              <w:top w:val="nil"/>
              <w:left w:val="nil"/>
              <w:bottom w:val="single" w:color="000000" w:sz="8" w:space="0"/>
              <w:right w:val="single" w:color="000000" w:sz="8" w:space="0"/>
            </w:tcBorders>
            <w:shd w:val="clear" w:color="auto" w:fill="auto"/>
            <w:noWrap/>
            <w:vAlign w:val="center"/>
          </w:tcPr>
          <w:p w14:paraId="1C7986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5DF9E81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90" w:type="pct"/>
            <w:tcBorders>
              <w:top w:val="nil"/>
              <w:left w:val="nil"/>
              <w:bottom w:val="single" w:color="000000" w:sz="8" w:space="0"/>
              <w:right w:val="single" w:color="000000" w:sz="8" w:space="0"/>
            </w:tcBorders>
            <w:shd w:val="clear" w:color="auto" w:fill="auto"/>
            <w:noWrap/>
            <w:vAlign w:val="center"/>
          </w:tcPr>
          <w:p w14:paraId="2C32E9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 </w:t>
            </w:r>
          </w:p>
        </w:tc>
        <w:tc>
          <w:tcPr>
            <w:tcW w:w="332" w:type="pct"/>
            <w:tcBorders>
              <w:top w:val="nil"/>
              <w:left w:val="nil"/>
              <w:bottom w:val="single" w:color="000000" w:sz="8" w:space="0"/>
              <w:right w:val="single" w:color="000000" w:sz="8" w:space="0"/>
            </w:tcBorders>
            <w:shd w:val="clear" w:color="auto" w:fill="auto"/>
            <w:noWrap/>
            <w:vAlign w:val="center"/>
          </w:tcPr>
          <w:p w14:paraId="3E52D5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0.2077 </w:t>
            </w:r>
          </w:p>
        </w:tc>
      </w:tr>
      <w:tr w14:paraId="66B3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8" w:type="pct"/>
            <w:gridSpan w:val="2"/>
            <w:tcBorders>
              <w:top w:val="nil"/>
              <w:left w:val="single" w:color="000000" w:sz="8" w:space="0"/>
              <w:bottom w:val="single" w:color="000000" w:sz="8" w:space="0"/>
              <w:right w:val="single" w:color="000000" w:sz="8" w:space="0"/>
            </w:tcBorders>
            <w:shd w:val="clear" w:color="auto" w:fill="auto"/>
            <w:noWrap/>
            <w:vAlign w:val="center"/>
          </w:tcPr>
          <w:p w14:paraId="78D6FDF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332" w:type="pct"/>
            <w:tcBorders>
              <w:top w:val="nil"/>
              <w:left w:val="nil"/>
              <w:bottom w:val="single" w:color="000000" w:sz="8" w:space="0"/>
              <w:right w:val="single" w:color="000000" w:sz="8" w:space="0"/>
            </w:tcBorders>
            <w:shd w:val="clear" w:color="auto" w:fill="auto"/>
            <w:noWrap/>
            <w:vAlign w:val="center"/>
          </w:tcPr>
          <w:p w14:paraId="4A2113C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40.1870 </w:t>
            </w:r>
          </w:p>
        </w:tc>
        <w:tc>
          <w:tcPr>
            <w:tcW w:w="332" w:type="pct"/>
            <w:tcBorders>
              <w:top w:val="nil"/>
              <w:left w:val="nil"/>
              <w:bottom w:val="single" w:color="000000" w:sz="8" w:space="0"/>
              <w:right w:val="single" w:color="000000" w:sz="8" w:space="0"/>
            </w:tcBorders>
            <w:shd w:val="clear" w:color="auto" w:fill="auto"/>
            <w:noWrap/>
            <w:vAlign w:val="center"/>
          </w:tcPr>
          <w:p w14:paraId="4950A38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38.0881 </w:t>
            </w:r>
          </w:p>
        </w:tc>
        <w:tc>
          <w:tcPr>
            <w:tcW w:w="293" w:type="pct"/>
            <w:tcBorders>
              <w:top w:val="nil"/>
              <w:left w:val="nil"/>
              <w:bottom w:val="single" w:color="000000" w:sz="8" w:space="0"/>
              <w:right w:val="single" w:color="000000" w:sz="8" w:space="0"/>
            </w:tcBorders>
            <w:shd w:val="clear" w:color="auto" w:fill="auto"/>
            <w:noWrap/>
            <w:vAlign w:val="center"/>
          </w:tcPr>
          <w:p w14:paraId="2DD224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0.3800 </w:t>
            </w:r>
          </w:p>
        </w:tc>
        <w:tc>
          <w:tcPr>
            <w:tcW w:w="293" w:type="pct"/>
            <w:tcBorders>
              <w:top w:val="nil"/>
              <w:left w:val="nil"/>
              <w:bottom w:val="single" w:color="000000" w:sz="8" w:space="0"/>
              <w:right w:val="single" w:color="000000" w:sz="8" w:space="0"/>
            </w:tcBorders>
            <w:shd w:val="clear" w:color="auto" w:fill="auto"/>
            <w:noWrap/>
            <w:vAlign w:val="center"/>
          </w:tcPr>
          <w:p w14:paraId="340B7A2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1.0600 </w:t>
            </w:r>
          </w:p>
        </w:tc>
        <w:tc>
          <w:tcPr>
            <w:tcW w:w="293" w:type="pct"/>
            <w:tcBorders>
              <w:top w:val="nil"/>
              <w:left w:val="nil"/>
              <w:bottom w:val="single" w:color="000000" w:sz="8" w:space="0"/>
              <w:right w:val="single" w:color="000000" w:sz="8" w:space="0"/>
            </w:tcBorders>
            <w:shd w:val="clear" w:color="auto" w:fill="auto"/>
            <w:noWrap/>
            <w:vAlign w:val="center"/>
          </w:tcPr>
          <w:p w14:paraId="65099EC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0.0308 </w:t>
            </w:r>
          </w:p>
        </w:tc>
        <w:tc>
          <w:tcPr>
            <w:tcW w:w="545" w:type="pct"/>
            <w:tcBorders>
              <w:top w:val="nil"/>
              <w:left w:val="nil"/>
              <w:bottom w:val="single" w:color="000000" w:sz="8" w:space="0"/>
              <w:right w:val="single" w:color="000000" w:sz="8" w:space="0"/>
            </w:tcBorders>
            <w:shd w:val="clear" w:color="auto" w:fill="auto"/>
            <w:noWrap/>
            <w:vAlign w:val="center"/>
          </w:tcPr>
          <w:p w14:paraId="7332952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0.5760 </w:t>
            </w:r>
          </w:p>
        </w:tc>
        <w:tc>
          <w:tcPr>
            <w:tcW w:w="468" w:type="pct"/>
            <w:tcBorders>
              <w:top w:val="nil"/>
              <w:left w:val="nil"/>
              <w:bottom w:val="single" w:color="000000" w:sz="8" w:space="0"/>
              <w:right w:val="single" w:color="000000" w:sz="8" w:space="0"/>
            </w:tcBorders>
            <w:shd w:val="clear" w:color="auto" w:fill="auto"/>
            <w:noWrap/>
            <w:vAlign w:val="center"/>
          </w:tcPr>
          <w:p w14:paraId="6FE519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0.0000 </w:t>
            </w:r>
          </w:p>
        </w:tc>
        <w:tc>
          <w:tcPr>
            <w:tcW w:w="468" w:type="pct"/>
            <w:tcBorders>
              <w:top w:val="nil"/>
              <w:left w:val="nil"/>
              <w:bottom w:val="single" w:color="000000" w:sz="8" w:space="0"/>
              <w:right w:val="single" w:color="000000" w:sz="8" w:space="0"/>
            </w:tcBorders>
            <w:shd w:val="clear" w:color="auto" w:fill="auto"/>
            <w:noWrap/>
            <w:vAlign w:val="center"/>
          </w:tcPr>
          <w:p w14:paraId="0559BB0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0.0521 </w:t>
            </w:r>
          </w:p>
        </w:tc>
        <w:tc>
          <w:tcPr>
            <w:tcW w:w="390" w:type="pct"/>
            <w:tcBorders>
              <w:top w:val="nil"/>
              <w:left w:val="nil"/>
              <w:bottom w:val="single" w:color="000000" w:sz="8" w:space="0"/>
              <w:right w:val="single" w:color="000000" w:sz="8" w:space="0"/>
            </w:tcBorders>
            <w:shd w:val="clear" w:color="auto" w:fill="auto"/>
            <w:noWrap/>
            <w:vAlign w:val="center"/>
          </w:tcPr>
          <w:p w14:paraId="7F4363E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25.8731 </w:t>
            </w:r>
          </w:p>
        </w:tc>
        <w:tc>
          <w:tcPr>
            <w:tcW w:w="390" w:type="pct"/>
            <w:tcBorders>
              <w:top w:val="nil"/>
              <w:left w:val="nil"/>
              <w:bottom w:val="single" w:color="000000" w:sz="8" w:space="0"/>
              <w:right w:val="single" w:color="000000" w:sz="8" w:space="0"/>
            </w:tcBorders>
            <w:shd w:val="clear" w:color="auto" w:fill="auto"/>
            <w:noWrap/>
            <w:vAlign w:val="center"/>
          </w:tcPr>
          <w:p w14:paraId="68398D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0.0391 </w:t>
            </w:r>
          </w:p>
        </w:tc>
        <w:tc>
          <w:tcPr>
            <w:tcW w:w="332" w:type="pct"/>
            <w:tcBorders>
              <w:top w:val="nil"/>
              <w:left w:val="nil"/>
              <w:bottom w:val="single" w:color="000000" w:sz="8" w:space="0"/>
              <w:right w:val="single" w:color="000000" w:sz="8" w:space="0"/>
            </w:tcBorders>
            <w:shd w:val="clear" w:color="auto" w:fill="auto"/>
            <w:noWrap/>
            <w:vAlign w:val="center"/>
          </w:tcPr>
          <w:p w14:paraId="62AD225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66.0992 </w:t>
            </w:r>
          </w:p>
        </w:tc>
      </w:tr>
    </w:tbl>
    <w:p w14:paraId="548AA50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28"/>
          <w:szCs w:val="32"/>
          <w:highlight w:val="none"/>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14:paraId="60576D43">
      <w:pPr>
        <w:pStyle w:val="3"/>
        <w:numPr>
          <w:ilvl w:val="1"/>
          <w:numId w:val="0"/>
        </w:numPr>
        <w:tabs>
          <w:tab w:val="clear" w:pos="420"/>
        </w:tabs>
        <w:bidi w:val="0"/>
        <w:ind w:left="575" w:leftChars="0" w:hanging="575" w:firstLineChars="0"/>
        <w:rPr>
          <w:rFonts w:hint="default"/>
          <w:sz w:val="32"/>
          <w:szCs w:val="32"/>
          <w:lang w:val="en-US"/>
        </w:rPr>
      </w:pPr>
      <w:bookmarkStart w:id="17" w:name="_Toc20612"/>
      <w:r>
        <w:rPr>
          <w:rFonts w:hint="eastAsia" w:ascii="Times New Roman" w:hAnsi="Times New Roman" w:eastAsia="仿宋" w:cs="Times New Roman"/>
          <w:b/>
          <w:bCs/>
          <w:kern w:val="2"/>
          <w:sz w:val="32"/>
          <w:szCs w:val="32"/>
          <w:lang w:val="en-US" w:eastAsia="zh-CN"/>
        </w:rPr>
        <w:t>2.4.</w:t>
      </w:r>
      <w:r>
        <w:rPr>
          <w:rFonts w:hint="default"/>
          <w:sz w:val="32"/>
          <w:szCs w:val="32"/>
        </w:rPr>
        <w:t>土地权属情况</w:t>
      </w:r>
      <w:bookmarkEnd w:id="17"/>
    </w:p>
    <w:p w14:paraId="6EBE631C">
      <w:pPr>
        <w:spacing w:line="240" w:lineRule="auto"/>
        <w:ind w:firstLine="640"/>
        <w:rPr>
          <w:rFonts w:hint="default" w:ascii="Times New Roman" w:hAnsi="Times New Roman" w:eastAsia="仿宋" w:cs="Times New Roman"/>
          <w:sz w:val="28"/>
          <w:szCs w:val="32"/>
          <w:highlight w:val="none"/>
          <w:lang w:bidi="ar-SA"/>
        </w:rPr>
      </w:pPr>
      <w:r>
        <w:rPr>
          <w:rFonts w:hint="default" w:ascii="Times New Roman" w:hAnsi="Times New Roman" w:eastAsia="仿宋" w:cs="Times New Roman"/>
          <w:sz w:val="28"/>
          <w:szCs w:val="32"/>
          <w:highlight w:val="none"/>
          <w:lang w:val="en-US" w:eastAsia="zh-CN" w:bidi="ar-SA"/>
        </w:rPr>
        <w:t>依据</w:t>
      </w:r>
      <w:r>
        <w:rPr>
          <w:rFonts w:hint="eastAsia" w:ascii="Times New Roman" w:hAnsi="Times New Roman" w:eastAsia="仿宋" w:cs="Times New Roman"/>
          <w:sz w:val="28"/>
          <w:szCs w:val="28"/>
          <w:highlight w:val="none"/>
          <w:lang w:val="en-US" w:eastAsia="zh-CN" w:bidi="ar-SA"/>
        </w:rPr>
        <w:t>高平市2023年度国土变更调查数据</w:t>
      </w:r>
      <w:r>
        <w:rPr>
          <w:rFonts w:hint="default" w:ascii="Times New Roman" w:hAnsi="Times New Roman" w:eastAsia="仿宋" w:cs="Times New Roman"/>
          <w:sz w:val="28"/>
          <w:szCs w:val="32"/>
          <w:highlight w:val="none"/>
          <w:lang w:val="en-US" w:eastAsia="zh-CN" w:bidi="ar-SA"/>
        </w:rPr>
        <w:t>，本方案</w:t>
      </w:r>
      <w:r>
        <w:rPr>
          <w:rFonts w:hint="eastAsia" w:ascii="Times New Roman" w:hAnsi="Times New Roman" w:eastAsia="仿宋" w:cs="Times New Roman"/>
          <w:sz w:val="28"/>
          <w:szCs w:val="32"/>
          <w:highlight w:val="none"/>
          <w:lang w:val="en-US" w:eastAsia="zh-CN" w:bidi="ar-SA"/>
        </w:rPr>
        <w:t>项目用地总面积45.9447</w:t>
      </w:r>
      <w:r>
        <w:rPr>
          <w:rFonts w:hint="default" w:ascii="Times New Roman" w:hAnsi="Times New Roman" w:eastAsia="仿宋" w:cs="Times New Roman"/>
          <w:sz w:val="28"/>
          <w:szCs w:val="32"/>
          <w:highlight w:val="none"/>
          <w:lang w:val="en-US" w:eastAsia="zh-CN" w:bidi="ar-SA"/>
        </w:rPr>
        <w:t>公顷，</w:t>
      </w:r>
      <w:r>
        <w:rPr>
          <w:rFonts w:hint="eastAsia" w:ascii="Times New Roman" w:hAnsi="Times New Roman" w:eastAsia="仿宋" w:cs="Times New Roman"/>
          <w:sz w:val="28"/>
          <w:szCs w:val="32"/>
          <w:highlight w:val="none"/>
          <w:lang w:val="en-US" w:eastAsia="zh-CN" w:bidi="ar-SA"/>
        </w:rPr>
        <w:t>全部为</w:t>
      </w:r>
      <w:r>
        <w:rPr>
          <w:rFonts w:hint="default" w:ascii="Times New Roman" w:hAnsi="Times New Roman" w:eastAsia="仿宋" w:cs="Times New Roman"/>
          <w:sz w:val="28"/>
          <w:szCs w:val="32"/>
          <w:highlight w:val="none"/>
          <w:lang w:val="en-US" w:eastAsia="zh-CN" w:bidi="ar-SA"/>
        </w:rPr>
        <w:t>集体土地</w:t>
      </w:r>
      <w:r>
        <w:rPr>
          <w:rFonts w:hint="eastAsia" w:ascii="Times New Roman" w:hAnsi="Times New Roman" w:eastAsia="仿宋" w:cs="Times New Roman"/>
          <w:sz w:val="28"/>
          <w:szCs w:val="32"/>
          <w:highlight w:val="none"/>
          <w:lang w:val="en-US" w:eastAsia="zh-CN" w:bidi="ar-SA"/>
        </w:rPr>
        <w:t>，</w:t>
      </w:r>
      <w:r>
        <w:rPr>
          <w:rFonts w:hint="default" w:ascii="Times New Roman" w:hAnsi="Times New Roman" w:eastAsia="仿宋" w:cs="Times New Roman"/>
          <w:sz w:val="28"/>
          <w:szCs w:val="32"/>
          <w:highlight w:val="none"/>
          <w:lang w:val="en-US" w:eastAsia="zh-CN" w:bidi="ar-SA"/>
        </w:rPr>
        <w:t>共涉及</w:t>
      </w:r>
      <w:r>
        <w:rPr>
          <w:rFonts w:hint="eastAsia" w:ascii="Times New Roman" w:hAnsi="Times New Roman" w:eastAsia="仿宋" w:cs="Times New Roman"/>
          <w:sz w:val="28"/>
          <w:szCs w:val="32"/>
          <w:highlight w:val="none"/>
          <w:lang w:val="en-US" w:eastAsia="zh-CN" w:bidi="ar-SA"/>
        </w:rPr>
        <w:t>三甲镇、米山镇等6</w:t>
      </w:r>
      <w:r>
        <w:rPr>
          <w:rFonts w:hint="default" w:ascii="Times New Roman" w:hAnsi="Times New Roman" w:eastAsia="仿宋" w:cs="Times New Roman"/>
          <w:sz w:val="28"/>
          <w:szCs w:val="32"/>
          <w:highlight w:val="none"/>
          <w:lang w:val="en-US" w:eastAsia="zh-CN" w:bidi="ar-SA"/>
        </w:rPr>
        <w:t>个乡（镇）</w:t>
      </w:r>
      <w:r>
        <w:rPr>
          <w:rFonts w:hint="eastAsia" w:ascii="Times New Roman" w:hAnsi="Times New Roman" w:eastAsia="仿宋" w:cs="Times New Roman"/>
          <w:sz w:val="28"/>
          <w:szCs w:val="32"/>
          <w:highlight w:val="none"/>
          <w:lang w:val="en-US" w:eastAsia="zh-CN" w:bidi="ar-SA"/>
        </w:rPr>
        <w:t>底池村、北李村等13个</w:t>
      </w:r>
      <w:r>
        <w:rPr>
          <w:rFonts w:hint="default" w:ascii="Times New Roman" w:hAnsi="Times New Roman" w:eastAsia="仿宋" w:cs="Times New Roman"/>
          <w:sz w:val="28"/>
          <w:szCs w:val="32"/>
          <w:highlight w:val="none"/>
          <w:lang w:val="en-US" w:eastAsia="zh-CN" w:bidi="ar-SA"/>
        </w:rPr>
        <w:t>村。本方案所有土地权属无争议，界限清晰。</w:t>
      </w:r>
      <w:r>
        <w:rPr>
          <w:rFonts w:hint="default" w:ascii="Times New Roman" w:hAnsi="Times New Roman" w:eastAsia="仿宋" w:cs="Times New Roman"/>
          <w:sz w:val="28"/>
          <w:szCs w:val="32"/>
          <w:highlight w:val="none"/>
          <w:lang w:bidi="ar-SA"/>
        </w:rPr>
        <w:t>见</w:t>
      </w:r>
      <w:r>
        <w:rPr>
          <w:rFonts w:hint="eastAsia" w:ascii="Times New Roman" w:hAnsi="Times New Roman" w:eastAsia="仿宋" w:cs="Times New Roman"/>
          <w:sz w:val="28"/>
          <w:szCs w:val="32"/>
          <w:highlight w:val="none"/>
          <w:lang w:val="en-US" w:eastAsia="zh-CN" w:bidi="ar-SA"/>
        </w:rPr>
        <w:t>下</w:t>
      </w:r>
      <w:r>
        <w:rPr>
          <w:rFonts w:hint="default" w:ascii="Times New Roman" w:hAnsi="Times New Roman" w:eastAsia="仿宋" w:cs="Times New Roman"/>
          <w:sz w:val="28"/>
          <w:szCs w:val="32"/>
          <w:highlight w:val="none"/>
          <w:lang w:bidi="ar-SA"/>
        </w:rPr>
        <w:t>表</w:t>
      </w:r>
      <w:r>
        <w:rPr>
          <w:rFonts w:hint="eastAsia" w:ascii="Times New Roman" w:hAnsi="Times New Roman" w:eastAsia="仿宋" w:cs="Times New Roman"/>
          <w:sz w:val="28"/>
          <w:szCs w:val="32"/>
          <w:highlight w:val="none"/>
          <w:lang w:val="en-US" w:eastAsia="zh-CN" w:bidi="ar-SA"/>
        </w:rPr>
        <w:t>2-5</w:t>
      </w:r>
      <w:r>
        <w:rPr>
          <w:rFonts w:hint="default" w:ascii="Times New Roman" w:hAnsi="Times New Roman" w:eastAsia="仿宋" w:cs="Times New Roman"/>
          <w:sz w:val="28"/>
          <w:szCs w:val="32"/>
          <w:highlight w:val="none"/>
          <w:lang w:bidi="ar-SA"/>
        </w:rPr>
        <w:t>。</w:t>
      </w:r>
    </w:p>
    <w:p w14:paraId="7A895C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表2-5 项目用地土地权属统计表</w:t>
      </w:r>
    </w:p>
    <w:p w14:paraId="71F1EB4C">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 xml:space="preserve">                                                    单位：公顷</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820"/>
        <w:gridCol w:w="1121"/>
        <w:gridCol w:w="1344"/>
        <w:gridCol w:w="1177"/>
        <w:gridCol w:w="675"/>
        <w:gridCol w:w="953"/>
        <w:gridCol w:w="1121"/>
      </w:tblGrid>
      <w:tr w14:paraId="0570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02307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序号</w:t>
            </w:r>
          </w:p>
        </w:tc>
        <w:tc>
          <w:tcPr>
            <w:tcW w:w="10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346F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6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4E04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项目编号</w:t>
            </w:r>
          </w:p>
        </w:tc>
        <w:tc>
          <w:tcPr>
            <w:tcW w:w="75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27AE1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乡镇</w:t>
            </w:r>
          </w:p>
        </w:tc>
        <w:tc>
          <w:tcPr>
            <w:tcW w:w="6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6A5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行政村</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5E0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国有</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2FD00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集体</w:t>
            </w:r>
          </w:p>
        </w:tc>
        <w:tc>
          <w:tcPr>
            <w:tcW w:w="6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177B3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项目面积</w:t>
            </w:r>
          </w:p>
        </w:tc>
      </w:tr>
      <w:tr w14:paraId="4F5A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62" w:type="pct"/>
            <w:vMerge w:val="restart"/>
            <w:tcBorders>
              <w:top w:val="nil"/>
              <w:left w:val="single" w:color="000000" w:sz="8" w:space="0"/>
              <w:right w:val="single" w:color="000000" w:sz="8" w:space="0"/>
            </w:tcBorders>
            <w:shd w:val="clear" w:color="auto" w:fill="auto"/>
            <w:noWrap/>
            <w:vAlign w:val="center"/>
          </w:tcPr>
          <w:p w14:paraId="10FA502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028" w:type="pct"/>
            <w:vMerge w:val="restart"/>
            <w:tcBorders>
              <w:top w:val="nil"/>
              <w:left w:val="single" w:color="000000" w:sz="8" w:space="0"/>
              <w:right w:val="single" w:color="000000" w:sz="8" w:space="0"/>
            </w:tcBorders>
            <w:shd w:val="clear" w:color="auto" w:fill="auto"/>
            <w:noWrap/>
            <w:vAlign w:val="center"/>
          </w:tcPr>
          <w:p w14:paraId="01D154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633" w:type="pct"/>
            <w:vMerge w:val="restart"/>
            <w:tcBorders>
              <w:top w:val="nil"/>
              <w:left w:val="single" w:color="000000" w:sz="8" w:space="0"/>
              <w:right w:val="single" w:color="000000" w:sz="8" w:space="0"/>
            </w:tcBorders>
            <w:shd w:val="clear" w:color="auto" w:fill="auto"/>
            <w:noWrap/>
            <w:vAlign w:val="center"/>
          </w:tcPr>
          <w:p w14:paraId="48C1405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759" w:type="pct"/>
            <w:vMerge w:val="restart"/>
            <w:tcBorders>
              <w:top w:val="nil"/>
              <w:left w:val="single" w:color="000000" w:sz="8" w:space="0"/>
              <w:right w:val="single" w:color="000000" w:sz="8" w:space="0"/>
            </w:tcBorders>
            <w:shd w:val="clear" w:color="auto" w:fill="auto"/>
            <w:noWrap/>
            <w:vAlign w:val="center"/>
          </w:tcPr>
          <w:p w14:paraId="067E08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1C6AE71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底池村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F9AE8A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0E44F6A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3.2106</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B8986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3.2106</w:t>
            </w:r>
          </w:p>
        </w:tc>
      </w:tr>
      <w:tr w14:paraId="2913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62" w:type="pct"/>
            <w:vMerge w:val="continue"/>
            <w:tcBorders>
              <w:left w:val="single" w:color="000000" w:sz="8" w:space="0"/>
              <w:right w:val="single" w:color="000000" w:sz="8" w:space="0"/>
            </w:tcBorders>
            <w:shd w:val="clear" w:color="auto" w:fill="auto"/>
            <w:noWrap/>
            <w:vAlign w:val="center"/>
          </w:tcPr>
          <w:p w14:paraId="2E3072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single" w:color="000000" w:sz="8" w:space="0"/>
              <w:right w:val="single" w:color="000000" w:sz="8" w:space="0"/>
            </w:tcBorders>
            <w:shd w:val="clear" w:color="auto" w:fill="auto"/>
            <w:noWrap/>
            <w:vAlign w:val="center"/>
          </w:tcPr>
          <w:p w14:paraId="2B2C719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348D9D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right w:val="single" w:color="000000" w:sz="8" w:space="0"/>
            </w:tcBorders>
            <w:shd w:val="clear" w:color="auto" w:fill="auto"/>
            <w:noWrap/>
            <w:vAlign w:val="center"/>
          </w:tcPr>
          <w:p w14:paraId="4FE4971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69BB6A8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北李村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47F9EB7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0549329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0.9181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8B469F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0.9181</w:t>
            </w:r>
          </w:p>
        </w:tc>
      </w:tr>
      <w:tr w14:paraId="00F6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vMerge w:val="continue"/>
            <w:tcBorders>
              <w:left w:val="single" w:color="000000" w:sz="8" w:space="0"/>
              <w:right w:val="single" w:color="000000" w:sz="8" w:space="0"/>
            </w:tcBorders>
            <w:shd w:val="clear" w:color="auto" w:fill="auto"/>
            <w:noWrap/>
            <w:vAlign w:val="center"/>
          </w:tcPr>
          <w:p w14:paraId="1EB4A8F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single" w:color="000000" w:sz="8" w:space="0"/>
              <w:bottom w:val="single" w:color="000000" w:sz="8" w:space="0"/>
              <w:right w:val="single" w:color="000000" w:sz="8" w:space="0"/>
            </w:tcBorders>
            <w:shd w:val="clear" w:color="auto" w:fill="auto"/>
            <w:noWrap/>
            <w:vAlign w:val="center"/>
          </w:tcPr>
          <w:p w14:paraId="576C08D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2AD80F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455D86C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3A02B3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朱家山村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733BF8B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21F553A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0.1241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5E71A0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0.1241</w:t>
            </w:r>
          </w:p>
        </w:tc>
      </w:tr>
      <w:tr w14:paraId="0799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39B7F7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0741608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26EB0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1E3F8B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4.2528</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51246E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4.2528</w:t>
            </w:r>
          </w:p>
        </w:tc>
      </w:tr>
      <w:tr w14:paraId="15CE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499AEE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028" w:type="pct"/>
            <w:vMerge w:val="restart"/>
            <w:tcBorders>
              <w:top w:val="nil"/>
              <w:left w:val="nil"/>
              <w:right w:val="single" w:color="000000" w:sz="8" w:space="0"/>
            </w:tcBorders>
            <w:shd w:val="clear" w:color="auto" w:fill="auto"/>
            <w:vAlign w:val="center"/>
          </w:tcPr>
          <w:p w14:paraId="6C254A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633" w:type="pct"/>
            <w:vMerge w:val="restart"/>
            <w:tcBorders>
              <w:top w:val="nil"/>
              <w:left w:val="single" w:color="000000" w:sz="8" w:space="0"/>
              <w:right w:val="single" w:color="000000" w:sz="8" w:space="0"/>
            </w:tcBorders>
            <w:shd w:val="clear" w:color="auto" w:fill="auto"/>
            <w:noWrap/>
            <w:vAlign w:val="center"/>
          </w:tcPr>
          <w:p w14:paraId="5D0778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759" w:type="pct"/>
            <w:vMerge w:val="restart"/>
            <w:tcBorders>
              <w:top w:val="nil"/>
              <w:left w:val="single" w:color="000000" w:sz="8" w:space="0"/>
              <w:right w:val="single" w:color="000000" w:sz="8" w:space="0"/>
            </w:tcBorders>
            <w:shd w:val="clear" w:color="auto" w:fill="auto"/>
            <w:noWrap/>
            <w:vAlign w:val="center"/>
          </w:tcPr>
          <w:p w14:paraId="0C4B67E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6A24B1E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南坡村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D6A303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04EE0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1.6152</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C10D8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1.6152</w:t>
            </w:r>
          </w:p>
        </w:tc>
      </w:tr>
      <w:tr w14:paraId="7EA6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62" w:type="pct"/>
            <w:vMerge w:val="continue"/>
            <w:tcBorders>
              <w:left w:val="single" w:color="000000" w:sz="8" w:space="0"/>
              <w:right w:val="single" w:color="000000" w:sz="8" w:space="0"/>
            </w:tcBorders>
            <w:shd w:val="clear" w:color="auto" w:fill="auto"/>
            <w:noWrap/>
            <w:vAlign w:val="center"/>
          </w:tcPr>
          <w:p w14:paraId="7DF1B69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544C695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629C9A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right w:val="single" w:color="000000" w:sz="8" w:space="0"/>
            </w:tcBorders>
            <w:shd w:val="clear" w:color="auto" w:fill="auto"/>
            <w:noWrap/>
            <w:vAlign w:val="center"/>
          </w:tcPr>
          <w:p w14:paraId="5828B49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3BE9971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勾要村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CE3A59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6458585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5.7024</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CCB118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5.7024</w:t>
            </w:r>
          </w:p>
        </w:tc>
      </w:tr>
      <w:tr w14:paraId="5C85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right w:val="single" w:color="000000" w:sz="8" w:space="0"/>
            </w:tcBorders>
            <w:shd w:val="clear" w:color="auto" w:fill="auto"/>
            <w:noWrap/>
            <w:vAlign w:val="center"/>
          </w:tcPr>
          <w:p w14:paraId="4E77BAF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766846E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7F41E6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5DB24FA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1DFD72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云西村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4B8FF1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35B341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3.8810</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4B400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3.8810</w:t>
            </w:r>
          </w:p>
        </w:tc>
      </w:tr>
      <w:tr w14:paraId="56D9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right w:val="single" w:color="000000" w:sz="8" w:space="0"/>
            </w:tcBorders>
            <w:shd w:val="clear" w:color="auto" w:fill="auto"/>
            <w:noWrap/>
            <w:vAlign w:val="center"/>
          </w:tcPr>
          <w:p w14:paraId="7AFC08B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4B2588D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restart"/>
            <w:tcBorders>
              <w:top w:val="nil"/>
              <w:left w:val="single" w:color="000000" w:sz="8" w:space="0"/>
              <w:right w:val="single" w:color="000000" w:sz="8" w:space="0"/>
            </w:tcBorders>
            <w:shd w:val="clear" w:color="auto" w:fill="auto"/>
            <w:noWrap/>
            <w:vAlign w:val="center"/>
          </w:tcPr>
          <w:p w14:paraId="58B0B9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609997F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陈区镇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3A401B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西山村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785081B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589252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0.0433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CD8B70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0.0433</w:t>
            </w:r>
          </w:p>
        </w:tc>
      </w:tr>
      <w:tr w14:paraId="5CC4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right w:val="single" w:color="000000" w:sz="8" w:space="0"/>
            </w:tcBorders>
            <w:shd w:val="clear" w:color="auto" w:fill="auto"/>
            <w:noWrap/>
            <w:vAlign w:val="center"/>
          </w:tcPr>
          <w:p w14:paraId="5B9D4DF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5F69E27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2EA9673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restart"/>
            <w:tcBorders>
              <w:top w:val="nil"/>
              <w:left w:val="single" w:color="000000" w:sz="8" w:space="0"/>
              <w:right w:val="single" w:color="000000" w:sz="8" w:space="0"/>
            </w:tcBorders>
            <w:shd w:val="clear" w:color="auto" w:fill="auto"/>
            <w:noWrap/>
            <w:vAlign w:val="center"/>
          </w:tcPr>
          <w:p w14:paraId="745286D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0F519A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云西村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13BE2E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1ECBAFA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18.3126</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3FCD60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18.3126</w:t>
            </w:r>
          </w:p>
        </w:tc>
      </w:tr>
      <w:tr w14:paraId="1E96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right w:val="single" w:color="000000" w:sz="8" w:space="0"/>
            </w:tcBorders>
            <w:shd w:val="clear" w:color="auto" w:fill="auto"/>
            <w:noWrap/>
            <w:vAlign w:val="center"/>
          </w:tcPr>
          <w:p w14:paraId="4277ED4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right w:val="single" w:color="000000" w:sz="8" w:space="0"/>
            </w:tcBorders>
            <w:shd w:val="clear" w:color="auto" w:fill="auto"/>
            <w:noWrap/>
            <w:vAlign w:val="center"/>
          </w:tcPr>
          <w:p w14:paraId="188FDAF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right w:val="single" w:color="000000" w:sz="8" w:space="0"/>
            </w:tcBorders>
            <w:shd w:val="clear" w:color="auto" w:fill="auto"/>
            <w:noWrap/>
            <w:vAlign w:val="center"/>
          </w:tcPr>
          <w:p w14:paraId="142E9E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right w:val="single" w:color="000000" w:sz="8" w:space="0"/>
            </w:tcBorders>
            <w:shd w:val="clear" w:color="auto" w:fill="auto"/>
            <w:noWrap/>
            <w:vAlign w:val="center"/>
          </w:tcPr>
          <w:p w14:paraId="0172EE5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C628C8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勾要村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AC58C1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4D65DC3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0.3782</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24AE5A4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0.3782</w:t>
            </w:r>
          </w:p>
        </w:tc>
      </w:tr>
      <w:tr w14:paraId="041A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right w:val="single" w:color="000000" w:sz="8" w:space="0"/>
            </w:tcBorders>
            <w:shd w:val="clear" w:color="auto" w:fill="auto"/>
            <w:noWrap/>
            <w:vAlign w:val="center"/>
          </w:tcPr>
          <w:p w14:paraId="3121980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bottom w:val="single" w:color="000000" w:sz="8" w:space="0"/>
              <w:right w:val="single" w:color="000000" w:sz="8" w:space="0"/>
            </w:tcBorders>
            <w:shd w:val="clear" w:color="auto" w:fill="auto"/>
            <w:noWrap/>
            <w:vAlign w:val="center"/>
          </w:tcPr>
          <w:p w14:paraId="4CB412A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1E3F99C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4732374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E6FCC3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云东村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57D1D0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5179B1C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4.1546</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2AB03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4.1546</w:t>
            </w:r>
          </w:p>
        </w:tc>
      </w:tr>
      <w:tr w14:paraId="5284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031779A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247828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EC9F3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0C49D8C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34.0873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79447D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34.0873</w:t>
            </w:r>
          </w:p>
        </w:tc>
      </w:tr>
      <w:tr w14:paraId="6287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0DE4165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028" w:type="pct"/>
            <w:tcBorders>
              <w:top w:val="nil"/>
              <w:left w:val="nil"/>
              <w:bottom w:val="single" w:color="000000" w:sz="8" w:space="0"/>
              <w:right w:val="single" w:color="000000" w:sz="8" w:space="0"/>
            </w:tcBorders>
            <w:shd w:val="clear" w:color="auto" w:fill="auto"/>
            <w:vAlign w:val="center"/>
          </w:tcPr>
          <w:p w14:paraId="42E9B78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36560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26C7652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1ACE8FB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米东村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B73525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D678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0B3793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r>
      <w:tr w14:paraId="0E9B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02F127D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3277B23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A149D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4060BF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56EF23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2.0440</w:t>
            </w:r>
          </w:p>
        </w:tc>
      </w:tr>
      <w:tr w14:paraId="6C92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restart"/>
            <w:tcBorders>
              <w:top w:val="nil"/>
              <w:left w:val="single" w:color="000000" w:sz="8" w:space="0"/>
              <w:right w:val="single" w:color="000000" w:sz="8" w:space="0"/>
            </w:tcBorders>
            <w:shd w:val="clear" w:color="auto" w:fill="auto"/>
            <w:noWrap/>
            <w:vAlign w:val="center"/>
          </w:tcPr>
          <w:p w14:paraId="4E7A21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028" w:type="pct"/>
            <w:vMerge w:val="restart"/>
            <w:tcBorders>
              <w:top w:val="nil"/>
              <w:left w:val="nil"/>
              <w:right w:val="single" w:color="000000" w:sz="8" w:space="0"/>
            </w:tcBorders>
            <w:shd w:val="clear" w:color="auto" w:fill="auto"/>
            <w:vAlign w:val="center"/>
          </w:tcPr>
          <w:p w14:paraId="135ABC5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633" w:type="pct"/>
            <w:vMerge w:val="restart"/>
            <w:tcBorders>
              <w:top w:val="nil"/>
              <w:left w:val="single" w:color="000000" w:sz="8" w:space="0"/>
              <w:right w:val="single" w:color="000000" w:sz="8" w:space="0"/>
            </w:tcBorders>
            <w:shd w:val="clear" w:color="auto" w:fill="auto"/>
            <w:noWrap/>
            <w:vAlign w:val="center"/>
          </w:tcPr>
          <w:p w14:paraId="3DEE554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759" w:type="pct"/>
            <w:vMerge w:val="restart"/>
            <w:tcBorders>
              <w:top w:val="nil"/>
              <w:left w:val="single" w:color="000000" w:sz="8" w:space="0"/>
              <w:right w:val="single" w:color="000000" w:sz="8" w:space="0"/>
            </w:tcBorders>
            <w:shd w:val="clear" w:color="auto" w:fill="auto"/>
            <w:noWrap/>
            <w:vAlign w:val="center"/>
          </w:tcPr>
          <w:p w14:paraId="40A29AF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河西镇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1FF1E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53657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8386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0.3283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5FC19E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0.3283</w:t>
            </w:r>
          </w:p>
        </w:tc>
      </w:tr>
      <w:tr w14:paraId="720B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right w:val="single" w:color="000000" w:sz="8" w:space="0"/>
            </w:tcBorders>
            <w:shd w:val="clear" w:color="auto" w:fill="auto"/>
            <w:noWrap/>
            <w:vAlign w:val="center"/>
          </w:tcPr>
          <w:p w14:paraId="03B764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vMerge w:val="continue"/>
            <w:tcBorders>
              <w:left w:val="nil"/>
              <w:bottom w:val="single" w:color="000000" w:sz="8" w:space="0"/>
              <w:right w:val="single" w:color="000000" w:sz="8" w:space="0"/>
            </w:tcBorders>
            <w:shd w:val="clear" w:color="auto" w:fill="auto"/>
            <w:noWrap/>
            <w:vAlign w:val="center"/>
          </w:tcPr>
          <w:p w14:paraId="66F8AD7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33" w:type="pct"/>
            <w:vMerge w:val="continue"/>
            <w:tcBorders>
              <w:left w:val="single" w:color="000000" w:sz="8" w:space="0"/>
              <w:bottom w:val="single" w:color="000000" w:sz="8" w:space="0"/>
              <w:right w:val="single" w:color="000000" w:sz="8" w:space="0"/>
            </w:tcBorders>
            <w:shd w:val="clear" w:color="auto" w:fill="auto"/>
            <w:noWrap/>
            <w:vAlign w:val="center"/>
          </w:tcPr>
          <w:p w14:paraId="43FF32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59" w:type="pct"/>
            <w:vMerge w:val="continue"/>
            <w:tcBorders>
              <w:left w:val="single" w:color="000000" w:sz="8" w:space="0"/>
              <w:bottom w:val="single" w:color="000000" w:sz="8" w:space="0"/>
              <w:right w:val="single" w:color="000000" w:sz="8" w:space="0"/>
            </w:tcBorders>
            <w:shd w:val="clear" w:color="auto" w:fill="auto"/>
            <w:noWrap/>
            <w:vAlign w:val="center"/>
          </w:tcPr>
          <w:p w14:paraId="29FA304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05C001E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官庄村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17F9AF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2AE8A9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0.0123</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224FF83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0.0123</w:t>
            </w:r>
          </w:p>
        </w:tc>
      </w:tr>
      <w:tr w14:paraId="5365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7D19CD2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18930E9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000F7BD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4AECF02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0.3405</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243D2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0.3405</w:t>
            </w:r>
          </w:p>
        </w:tc>
      </w:tr>
      <w:tr w14:paraId="27A2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06154EF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028" w:type="pct"/>
            <w:tcBorders>
              <w:top w:val="nil"/>
              <w:left w:val="nil"/>
              <w:bottom w:val="single" w:color="000000" w:sz="8" w:space="0"/>
              <w:right w:val="single" w:color="000000" w:sz="8" w:space="0"/>
            </w:tcBorders>
            <w:shd w:val="clear" w:color="auto" w:fill="auto"/>
            <w:vAlign w:val="center"/>
          </w:tcPr>
          <w:p w14:paraId="18B0392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E62D64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2F28FFE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河西镇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2E88828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3CB400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C70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090641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r>
      <w:tr w14:paraId="7556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148D9A4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58A95F8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410BE8D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6303AA6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56BF1C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2.6647</w:t>
            </w:r>
          </w:p>
        </w:tc>
      </w:tr>
      <w:tr w14:paraId="2876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3833886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028" w:type="pct"/>
            <w:tcBorders>
              <w:top w:val="nil"/>
              <w:left w:val="nil"/>
              <w:bottom w:val="single" w:color="000000" w:sz="8" w:space="0"/>
              <w:right w:val="single" w:color="000000" w:sz="8" w:space="0"/>
            </w:tcBorders>
            <w:shd w:val="clear" w:color="auto" w:fill="auto"/>
            <w:vAlign w:val="center"/>
          </w:tcPr>
          <w:p w14:paraId="3AD60C6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42655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3497D9B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河西镇</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2BAC693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北苏庄村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758EE4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E7A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7E2C7A4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r>
      <w:tr w14:paraId="6540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793AC16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3107DED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5D2B39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6DBAF7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0393ED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0.1527</w:t>
            </w:r>
          </w:p>
        </w:tc>
      </w:tr>
      <w:tr w14:paraId="23D3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50599D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028" w:type="pct"/>
            <w:tcBorders>
              <w:top w:val="nil"/>
              <w:left w:val="nil"/>
              <w:bottom w:val="single" w:color="000000" w:sz="8" w:space="0"/>
              <w:right w:val="single" w:color="000000" w:sz="8" w:space="0"/>
            </w:tcBorders>
            <w:shd w:val="clear" w:color="auto" w:fill="auto"/>
            <w:vAlign w:val="center"/>
          </w:tcPr>
          <w:p w14:paraId="7A5B778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35C7682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19E747D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南城街道办</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55C1F2C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199A8D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9B8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B8DEAF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r>
      <w:tr w14:paraId="4B04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770D878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4D183EB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4532341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nil"/>
              <w:bottom w:val="nil"/>
              <w:right w:val="nil"/>
            </w:tcBorders>
            <w:shd w:val="clear" w:color="auto" w:fill="auto"/>
            <w:noWrap/>
            <w:vAlign w:val="center"/>
          </w:tcPr>
          <w:p w14:paraId="311903E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2.1951</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1649A65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r>
      <w:tr w14:paraId="0317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restart"/>
            <w:tcBorders>
              <w:top w:val="nil"/>
              <w:left w:val="single" w:color="000000" w:sz="8" w:space="0"/>
              <w:right w:val="single" w:color="000000" w:sz="8" w:space="0"/>
            </w:tcBorders>
            <w:shd w:val="clear" w:color="auto" w:fill="auto"/>
            <w:noWrap/>
            <w:vAlign w:val="center"/>
          </w:tcPr>
          <w:p w14:paraId="516424D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028" w:type="pct"/>
            <w:tcBorders>
              <w:top w:val="nil"/>
              <w:left w:val="nil"/>
              <w:bottom w:val="single" w:color="000000" w:sz="8" w:space="0"/>
              <w:right w:val="single" w:color="000000" w:sz="8" w:space="0"/>
            </w:tcBorders>
            <w:shd w:val="clear" w:color="auto" w:fill="auto"/>
            <w:vAlign w:val="center"/>
          </w:tcPr>
          <w:p w14:paraId="15EF98E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FEE9D2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759" w:type="pct"/>
            <w:tcBorders>
              <w:top w:val="nil"/>
              <w:left w:val="single" w:color="000000" w:sz="8" w:space="0"/>
              <w:bottom w:val="single" w:color="000000" w:sz="8" w:space="0"/>
              <w:right w:val="single" w:color="000000" w:sz="8" w:space="0"/>
            </w:tcBorders>
            <w:shd w:val="clear" w:color="auto" w:fill="auto"/>
            <w:noWrap/>
            <w:vAlign w:val="center"/>
          </w:tcPr>
          <w:p w14:paraId="5FA766C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建宁乡</w:t>
            </w:r>
          </w:p>
        </w:tc>
        <w:tc>
          <w:tcPr>
            <w:tcW w:w="663" w:type="pct"/>
            <w:tcBorders>
              <w:top w:val="nil"/>
              <w:left w:val="single" w:color="000000" w:sz="8" w:space="0"/>
              <w:bottom w:val="single" w:color="000000" w:sz="8" w:space="0"/>
              <w:right w:val="single" w:color="000000" w:sz="8" w:space="0"/>
            </w:tcBorders>
            <w:shd w:val="clear" w:color="auto" w:fill="auto"/>
            <w:noWrap/>
            <w:vAlign w:val="center"/>
          </w:tcPr>
          <w:p w14:paraId="396E625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苏庄村</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8FA473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B2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46A44B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r>
      <w:tr w14:paraId="3593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2" w:type="pct"/>
            <w:vMerge w:val="continue"/>
            <w:tcBorders>
              <w:left w:val="single" w:color="000000" w:sz="8" w:space="0"/>
              <w:bottom w:val="single" w:color="000000" w:sz="8" w:space="0"/>
              <w:right w:val="single" w:color="000000" w:sz="8" w:space="0"/>
            </w:tcBorders>
            <w:shd w:val="clear" w:color="auto" w:fill="auto"/>
            <w:noWrap/>
            <w:vAlign w:val="center"/>
          </w:tcPr>
          <w:p w14:paraId="37B0AE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084" w:type="pct"/>
            <w:gridSpan w:val="4"/>
            <w:tcBorders>
              <w:top w:val="nil"/>
              <w:left w:val="single" w:color="000000" w:sz="8" w:space="0"/>
              <w:bottom w:val="single" w:color="000000" w:sz="8" w:space="0"/>
              <w:right w:val="single" w:color="000000" w:sz="8" w:space="0"/>
            </w:tcBorders>
            <w:shd w:val="clear" w:color="auto" w:fill="auto"/>
            <w:noWrap/>
            <w:vAlign w:val="center"/>
          </w:tcPr>
          <w:p w14:paraId="1EE678A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68C0B51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7D86EA5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59A3DF8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r>
      <w:tr w14:paraId="4B40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47" w:type="pct"/>
            <w:gridSpan w:val="5"/>
            <w:tcBorders>
              <w:top w:val="nil"/>
              <w:left w:val="single" w:color="000000" w:sz="8" w:space="0"/>
              <w:bottom w:val="single" w:color="000000" w:sz="8" w:space="0"/>
              <w:right w:val="single" w:color="000000" w:sz="8" w:space="0"/>
            </w:tcBorders>
            <w:shd w:val="clear" w:color="auto" w:fill="auto"/>
            <w:noWrap/>
            <w:vAlign w:val="center"/>
          </w:tcPr>
          <w:p w14:paraId="54C4B04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381" w:type="pct"/>
            <w:tcBorders>
              <w:top w:val="nil"/>
              <w:left w:val="single" w:color="000000" w:sz="8" w:space="0"/>
              <w:bottom w:val="single" w:color="000000" w:sz="8" w:space="0"/>
              <w:right w:val="single" w:color="000000" w:sz="8" w:space="0"/>
            </w:tcBorders>
            <w:shd w:val="clear" w:color="auto" w:fill="auto"/>
            <w:noWrap/>
            <w:vAlign w:val="center"/>
          </w:tcPr>
          <w:p w14:paraId="29C286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538" w:type="pct"/>
            <w:tcBorders>
              <w:top w:val="nil"/>
              <w:left w:val="single" w:color="000000" w:sz="8" w:space="0"/>
              <w:bottom w:val="single" w:color="000000" w:sz="8" w:space="0"/>
              <w:right w:val="single" w:color="000000" w:sz="8" w:space="0"/>
            </w:tcBorders>
            <w:shd w:val="clear" w:color="auto" w:fill="auto"/>
            <w:noWrap/>
            <w:vAlign w:val="center"/>
          </w:tcPr>
          <w:p w14:paraId="30BCC86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45.9447</w:t>
            </w:r>
          </w:p>
        </w:tc>
        <w:tc>
          <w:tcPr>
            <w:tcW w:w="633" w:type="pct"/>
            <w:tcBorders>
              <w:top w:val="nil"/>
              <w:left w:val="single" w:color="000000" w:sz="8" w:space="0"/>
              <w:bottom w:val="single" w:color="000000" w:sz="8" w:space="0"/>
              <w:right w:val="single" w:color="000000" w:sz="8" w:space="0"/>
            </w:tcBorders>
            <w:shd w:val="clear" w:color="auto" w:fill="auto"/>
            <w:noWrap/>
            <w:vAlign w:val="center"/>
          </w:tcPr>
          <w:p w14:paraId="63C44DD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45.9447</w:t>
            </w:r>
          </w:p>
        </w:tc>
      </w:tr>
    </w:tbl>
    <w:p w14:paraId="59C778A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eastAsia="仿宋" w:cs="Times New Roman"/>
          <w:sz w:val="24"/>
          <w:szCs w:val="24"/>
          <w:highlight w:val="none"/>
          <w:lang w:val="en-US" w:eastAsia="zh-CN" w:bidi="ar-SA"/>
        </w:rPr>
      </w:pPr>
    </w:p>
    <w:p w14:paraId="37ACA3BF">
      <w:pPr>
        <w:pStyle w:val="3"/>
        <w:numPr>
          <w:ilvl w:val="1"/>
          <w:numId w:val="0"/>
        </w:numPr>
        <w:tabs>
          <w:tab w:val="clear" w:pos="420"/>
        </w:tabs>
        <w:bidi w:val="0"/>
        <w:rPr>
          <w:rFonts w:hint="default"/>
          <w:sz w:val="32"/>
          <w:szCs w:val="32"/>
          <w:lang w:val="en-US" w:eastAsia="zh-CN"/>
        </w:rPr>
      </w:pPr>
      <w:bookmarkStart w:id="18" w:name="_Toc8125"/>
      <w:bookmarkStart w:id="19" w:name="_Toc7429"/>
      <w:r>
        <w:rPr>
          <w:rFonts w:hint="eastAsia" w:ascii="Times New Roman" w:hAnsi="Times New Roman" w:eastAsia="仿宋" w:cs="Times New Roman"/>
          <w:b/>
          <w:bCs/>
          <w:kern w:val="2"/>
          <w:sz w:val="32"/>
          <w:szCs w:val="32"/>
          <w:lang w:val="en-US" w:eastAsia="zh-CN"/>
        </w:rPr>
        <w:t>2.5.</w:t>
      </w:r>
      <w:r>
        <w:rPr>
          <w:rFonts w:hint="default"/>
          <w:sz w:val="32"/>
          <w:szCs w:val="32"/>
          <w:lang w:val="en-US" w:eastAsia="zh-CN"/>
        </w:rPr>
        <w:t>基础设施条件</w:t>
      </w:r>
      <w:bookmarkEnd w:id="18"/>
      <w:bookmarkEnd w:id="19"/>
    </w:p>
    <w:p w14:paraId="2095F695">
      <w:pPr>
        <w:pStyle w:val="4"/>
        <w:numPr>
          <w:ilvl w:val="2"/>
          <w:numId w:val="0"/>
        </w:numPr>
        <w:bidi w:val="0"/>
        <w:ind w:left="720" w:leftChars="0" w:hanging="720" w:firstLineChars="0"/>
        <w:rPr>
          <w:rFonts w:hint="default"/>
          <w:sz w:val="28"/>
          <w:szCs w:val="32"/>
          <w:lang w:val="en-US" w:eastAsia="zh-CN"/>
        </w:rPr>
      </w:pPr>
      <w:r>
        <w:rPr>
          <w:rFonts w:hint="eastAsia" w:ascii="Times New Roman" w:hAnsi="Times New Roman" w:eastAsia="仿宋" w:cs="Times New Roman"/>
          <w:b/>
          <w:bCs/>
          <w:kern w:val="2"/>
          <w:sz w:val="28"/>
          <w:szCs w:val="32"/>
          <w:lang w:val="en-US" w:eastAsia="zh-CN" w:bidi="ar-SA"/>
        </w:rPr>
        <w:t>2.5.1.</w:t>
      </w:r>
      <w:r>
        <w:rPr>
          <w:rFonts w:hint="default"/>
          <w:sz w:val="28"/>
          <w:szCs w:val="32"/>
          <w:lang w:val="en-US" w:eastAsia="zh-CN"/>
        </w:rPr>
        <w:t>交通设施</w:t>
      </w:r>
    </w:p>
    <w:p w14:paraId="002A29D9">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28"/>
          <w:highlight w:val="none"/>
          <w:lang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：片区东100米为二广高速，西400米为G208炎帝大道。</w:t>
      </w:r>
    </w:p>
    <w:p w14:paraId="2A4BD42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片区西侧紧邻S331坪曲线。</w:t>
      </w:r>
    </w:p>
    <w:p w14:paraId="58FAE4AC">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片区沿新建道路兴园东路划分，北至S331坪曲线，交通便利</w:t>
      </w:r>
      <w:r>
        <w:rPr>
          <w:rFonts w:hint="default" w:ascii="Times New Roman" w:hAnsi="Times New Roman" w:eastAsia="仿宋" w:cs="Times New Roman"/>
          <w:sz w:val="28"/>
          <w:szCs w:val="32"/>
          <w:lang w:val="en-US" w:eastAsia="zh-CN" w:bidi="ar-SA"/>
        </w:rPr>
        <w:t>。</w:t>
      </w:r>
    </w:p>
    <w:p w14:paraId="2E99A58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eastAsia" w:ascii="Times New Roman" w:hAnsi="Times New Roman" w:eastAsia="仿宋" w:cs="Times New Roman"/>
          <w:sz w:val="28"/>
          <w:szCs w:val="32"/>
          <w:lang w:val="en-US" w:eastAsia="zh-CN" w:bidi="ar-SA"/>
        </w:rPr>
        <w:t>片区位于二淅线与城镇道路道路交叉口。</w:t>
      </w:r>
    </w:p>
    <w:p w14:paraId="4C204886">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w:t>
      </w:r>
      <w:r>
        <w:rPr>
          <w:rFonts w:hint="eastAsia" w:ascii="Times New Roman" w:hAnsi="Times New Roman" w:eastAsia="仿宋" w:cs="Times New Roman"/>
          <w:sz w:val="28"/>
          <w:szCs w:val="32"/>
          <w:lang w:val="en-US" w:eastAsia="zh-CN" w:bidi="ar-SA"/>
        </w:rPr>
        <w:t>片区西侧紧邻龙司线。</w:t>
      </w:r>
    </w:p>
    <w:p w14:paraId="46CD0EBA">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pP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片区东侧紧邻龙司线。</w:t>
      </w:r>
    </w:p>
    <w:p w14:paraId="630A5AC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片区西至S227省道。</w:t>
      </w:r>
    </w:p>
    <w:p w14:paraId="152EACC8">
      <w:pPr>
        <w:spacing w:line="240" w:lineRule="auto"/>
        <w:ind w:firstLine="640"/>
        <w:rPr>
          <w:rFonts w:hint="default"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lang w:val="en-US" w:eastAsia="zh-CN" w:bidi="ar-SA"/>
        </w:rPr>
        <w:t>片区西至兴宁路，南300米为S331。</w:t>
      </w:r>
    </w:p>
    <w:p w14:paraId="33252F31">
      <w:pPr>
        <w:pStyle w:val="4"/>
        <w:numPr>
          <w:ilvl w:val="2"/>
          <w:numId w:val="0"/>
        </w:numPr>
        <w:bidi w:val="0"/>
        <w:ind w:left="720" w:leftChars="0" w:hanging="720" w:firstLineChars="0"/>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2.5.2.</w:t>
      </w:r>
      <w:r>
        <w:rPr>
          <w:rFonts w:hint="default"/>
          <w:sz w:val="28"/>
          <w:szCs w:val="32"/>
          <w:highlight w:val="none"/>
          <w:lang w:val="en-US" w:eastAsia="zh-CN"/>
        </w:rPr>
        <w:t>供排水条件</w:t>
      </w:r>
    </w:p>
    <w:p w14:paraId="3EF40958">
      <w:pPr>
        <w:spacing w:line="240" w:lineRule="auto"/>
        <w:ind w:firstLine="640"/>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sz w:val="28"/>
          <w:szCs w:val="28"/>
          <w:highlight w:val="none"/>
          <w:lang w:val="en-US" w:eastAsia="zh-CN" w:bidi="ar-SA"/>
        </w:rPr>
        <w:t>以张峰水库调蓄池及输水渠、城北地下水源地、川起地下水源地及各乡镇饮用水水源保护区为核心，市域水资源总量为9943万m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/年，可利用量为5501万m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/年，市域外可调配水量3860万m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/年，则可利用水资源总量为9361万m</w:t>
      </w:r>
      <w:r>
        <w:rPr>
          <w:rFonts w:hint="default" w:ascii="Times New Roman" w:hAnsi="Times New Roman" w:eastAsia="仿宋" w:cs="Times New Roman"/>
          <w:sz w:val="28"/>
          <w:szCs w:val="28"/>
          <w:highlight w:val="none"/>
          <w:lang w:val="en-US" w:eastAsia="zh-CN" w:bidi="ar-SA"/>
        </w:rPr>
        <w:t>³</w:t>
      </w:r>
      <w:r>
        <w:rPr>
          <w:rFonts w:hint="eastAsia" w:ascii="Times New Roman" w:hAnsi="Times New Roman" w:eastAsia="仿宋" w:cs="Times New Roman"/>
          <w:sz w:val="28"/>
          <w:szCs w:val="28"/>
          <w:highlight w:val="none"/>
          <w:lang w:val="en-US" w:eastAsia="zh-CN" w:bidi="ar-SA"/>
        </w:rPr>
        <w:t>/年。</w:t>
      </w:r>
    </w:p>
    <w:p w14:paraId="7E9B65C7">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w:t>
      </w:r>
      <w:r>
        <w:rPr>
          <w:rFonts w:hint="eastAsia" w:ascii="Times New Roman" w:hAnsi="Times New Roman" w:eastAsia="仿宋" w:cs="Times New Roman"/>
          <w:sz w:val="28"/>
          <w:szCs w:val="28"/>
          <w:highlight w:val="none"/>
          <w:lang w:val="en-US" w:eastAsia="zh-CN" w:bidi="ar-SA"/>
        </w:rPr>
        <w:t>三甲南片区境内供水水源引自张峰水库调蓄工程，排水体制为雨污分流制。</w:t>
      </w:r>
    </w:p>
    <w:p w14:paraId="2D606ED1">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片区境内供水水源引自张峰水库调蓄工程，排水体制为雨污分流制。</w:t>
      </w:r>
    </w:p>
    <w:p w14:paraId="7E917A14">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片区境内供水水源引自张峰水库调蓄工程，排水体制为雨污分流制。</w:t>
      </w:r>
    </w:p>
    <w:p w14:paraId="33A0BF0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片区内供水水源引自张峰水库调蓄工程，排水体制为雨污分流制。</w:t>
      </w:r>
    </w:p>
    <w:p w14:paraId="4461EAB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供水由园区供水管网引入。排水按照雨污分流、污污分流原则，生活污水经过污水处理设施处理后可回用到工艺用水；工艺装置污水经过预处理达标后，排入有机废水收集管网；雨水就近排入园区雨水管。</w:t>
      </w:r>
    </w:p>
    <w:p w14:paraId="08FBC4F1">
      <w:pPr>
        <w:spacing w:line="240" w:lineRule="auto"/>
        <w:ind w:firstLine="640"/>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lang w:val="en-US" w:eastAsia="zh-CN" w:bidi="ar-SA"/>
        </w:rPr>
        <w:t>片区内供水水源引自张峰水库调蓄工程，排水体制为</w:t>
      </w:r>
      <w:r>
        <w:rPr>
          <w:rFonts w:hint="eastAsia" w:ascii="Times New Roman" w:hAnsi="Times New Roman" w:eastAsia="仿宋" w:cs="Times New Roman"/>
          <w:sz w:val="28"/>
          <w:szCs w:val="32"/>
          <w:highlight w:val="none"/>
          <w:lang w:val="en-US" w:eastAsia="zh-CN" w:bidi="ar-SA"/>
        </w:rPr>
        <w:t>雨污分流制。</w:t>
      </w:r>
    </w:p>
    <w:p w14:paraId="34CE7EAA">
      <w:pPr>
        <w:pStyle w:val="4"/>
        <w:numPr>
          <w:ilvl w:val="2"/>
          <w:numId w:val="0"/>
        </w:numPr>
        <w:bidi w:val="0"/>
        <w:ind w:left="779" w:leftChars="47" w:hanging="680" w:hangingChars="242"/>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2.5.3.</w:t>
      </w:r>
      <w:r>
        <w:rPr>
          <w:rFonts w:hint="default"/>
          <w:sz w:val="28"/>
          <w:szCs w:val="32"/>
          <w:highlight w:val="none"/>
          <w:lang w:val="en-US" w:eastAsia="zh-CN"/>
        </w:rPr>
        <w:t>供电条件</w:t>
      </w:r>
    </w:p>
    <w:p w14:paraId="4F451F21">
      <w:pPr>
        <w:spacing w:line="240" w:lineRule="auto"/>
        <w:ind w:firstLine="640"/>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28"/>
          <w:highlight w:val="none"/>
          <w:lang w:bidi="ar-SA"/>
        </w:rPr>
        <w:t>高平市现已形成以 110 千伏为主供电源，以 35 千伏为骨干网架，以 10 千伏均匀辐射的趋于科学的供电网络，北连长治环网，南至晋城48环网，成为晋东南电网的重要组成部分。规划提高高平市供电可靠性和供电质量，建设</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结构完善、技术领先、高效互动、灵活可靠</w:t>
      </w:r>
      <w:r>
        <w:rPr>
          <w:rFonts w:hint="eastAsia" w:ascii="Times New Roman" w:hAnsi="Times New Roman" w:eastAsia="仿宋" w:cs="Times New Roman"/>
          <w:sz w:val="28"/>
          <w:szCs w:val="28"/>
          <w:highlight w:val="none"/>
          <w:lang w:eastAsia="zh-CN" w:bidi="ar-SA"/>
        </w:rPr>
        <w:t>”</w:t>
      </w:r>
      <w:r>
        <w:rPr>
          <w:rFonts w:hint="default" w:ascii="Times New Roman" w:hAnsi="Times New Roman" w:eastAsia="仿宋" w:cs="Times New Roman"/>
          <w:sz w:val="28"/>
          <w:szCs w:val="28"/>
          <w:highlight w:val="none"/>
          <w:lang w:bidi="ar-SA"/>
        </w:rPr>
        <w:t>的现代化智能电网。实现中心城区供电可靠率达到 99.99%、县域供电可靠率达到99.99%。</w:t>
      </w:r>
    </w:p>
    <w:p w14:paraId="466D542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w:t>
      </w:r>
      <w:r>
        <w:rPr>
          <w:rFonts w:hint="eastAsia" w:ascii="Times New Roman" w:hAnsi="Times New Roman" w:eastAsia="仿宋" w:cs="Times New Roman"/>
          <w:sz w:val="28"/>
          <w:szCs w:val="28"/>
          <w:highlight w:val="none"/>
          <w:lang w:val="en-US" w:eastAsia="zh-CN" w:bidi="ar-SA"/>
        </w:rPr>
        <w:t>片区电源引自电源由园区供电管网接入。</w:t>
      </w:r>
    </w:p>
    <w:p w14:paraId="0B0BAE3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片区电源由园区供电管网接入。</w:t>
      </w:r>
    </w:p>
    <w:p w14:paraId="26E672C2">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片区电源由园区供电管网接入。</w:t>
      </w:r>
    </w:p>
    <w:p w14:paraId="37BCE54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片区电源由园区供电管网接入。</w:t>
      </w:r>
    </w:p>
    <w:p w14:paraId="32C14BF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片区电源引自电源由园区供电管网接入。</w:t>
      </w:r>
    </w:p>
    <w:p w14:paraId="194F98BF">
      <w:pPr>
        <w:spacing w:line="240" w:lineRule="auto"/>
        <w:ind w:firstLine="640"/>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highlight w:val="none"/>
          <w:lang w:val="en-US" w:eastAsia="zh-CN" w:bidi="ar-SA"/>
        </w:rPr>
        <w:t>片区电源引自电源由园区供电管网接入。</w:t>
      </w:r>
    </w:p>
    <w:p w14:paraId="5B19043F">
      <w:pPr>
        <w:pStyle w:val="4"/>
        <w:numPr>
          <w:ilvl w:val="2"/>
          <w:numId w:val="0"/>
        </w:numPr>
        <w:bidi w:val="0"/>
        <w:ind w:left="720" w:leftChars="0" w:hanging="720" w:firstLineChars="0"/>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w:t>
      </w:r>
      <w:r>
        <w:rPr>
          <w:rFonts w:hint="eastAsia" w:cs="Times New Roman"/>
          <w:b/>
          <w:bCs/>
          <w:kern w:val="2"/>
          <w:sz w:val="28"/>
          <w:szCs w:val="32"/>
          <w:highlight w:val="none"/>
          <w:lang w:val="en-US" w:eastAsia="zh-CN" w:bidi="ar-SA"/>
        </w:rPr>
        <w:t>4</w:t>
      </w:r>
      <w:r>
        <w:rPr>
          <w:rFonts w:hint="eastAsia" w:ascii="Times New Roman" w:hAnsi="Times New Roman" w:eastAsia="仿宋" w:cs="Times New Roman"/>
          <w:b/>
          <w:bCs/>
          <w:kern w:val="2"/>
          <w:sz w:val="28"/>
          <w:szCs w:val="32"/>
          <w:highlight w:val="none"/>
          <w:lang w:val="en-US" w:eastAsia="zh-CN" w:bidi="ar-SA"/>
        </w:rPr>
        <w:t>.</w:t>
      </w:r>
      <w:r>
        <w:rPr>
          <w:rFonts w:hint="default"/>
          <w:sz w:val="28"/>
          <w:szCs w:val="32"/>
          <w:highlight w:val="none"/>
          <w:lang w:val="en-US" w:eastAsia="zh-CN"/>
        </w:rPr>
        <w:t>供热条件</w:t>
      </w:r>
    </w:p>
    <w:p w14:paraId="22BAA3FD">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28"/>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highlight w:val="none"/>
          <w:lang w:val="en-US" w:eastAsia="zh-CN" w:bidi="ar-SA"/>
        </w:rPr>
        <w:t>：</w:t>
      </w:r>
      <w:r>
        <w:rPr>
          <w:rFonts w:hint="eastAsia" w:ascii="Times New Roman" w:hAnsi="Times New Roman" w:eastAsia="仿宋" w:cs="Times New Roman"/>
          <w:sz w:val="28"/>
          <w:szCs w:val="28"/>
          <w:highlight w:val="none"/>
          <w:lang w:val="en-US" w:eastAsia="zh-CN" w:bidi="ar-SA"/>
        </w:rPr>
        <w:t>片区供暖拟由高平市集中供热中心管网接入，接至片区新建换热站，供给各用热单元。</w:t>
      </w:r>
    </w:p>
    <w:p w14:paraId="1D7EC369">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eastAsia" w:ascii="Times New Roman" w:hAnsi="Times New Roman" w:eastAsia="仿宋" w:cs="Times New Roman"/>
          <w:sz w:val="28"/>
          <w:szCs w:val="32"/>
          <w:lang w:val="en-US" w:eastAsia="zh-CN" w:bidi="ar-SA"/>
        </w:rPr>
        <w:t>片区供热由园区供热管网接入。</w:t>
      </w:r>
    </w:p>
    <w:p w14:paraId="295E2DD0">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eastAsia" w:ascii="Times New Roman" w:hAnsi="Times New Roman" w:eastAsia="仿宋" w:cs="Times New Roman"/>
          <w:sz w:val="28"/>
          <w:szCs w:val="32"/>
          <w:lang w:val="en-US" w:eastAsia="zh-CN" w:bidi="ar-SA"/>
        </w:rPr>
        <w:t>片区供热由园区供热管网接入。</w:t>
      </w:r>
    </w:p>
    <w:p w14:paraId="0D3C2721">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苏庄商业片区2：</w:t>
      </w:r>
      <w:r>
        <w:rPr>
          <w:rFonts w:hint="eastAsia" w:ascii="Times New Roman" w:hAnsi="Times New Roman" w:eastAsia="仿宋" w:cs="Times New Roman"/>
          <w:sz w:val="28"/>
          <w:szCs w:val="32"/>
          <w:lang w:val="en-US" w:eastAsia="zh-CN" w:bidi="ar-SA"/>
        </w:rPr>
        <w:t>片区供暖拟由高平市集中供热中心管网接入，接至片区新建换热站，供给各用热单元。</w:t>
      </w:r>
    </w:p>
    <w:p w14:paraId="451B2C0D">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eastAsia" w:ascii="Times New Roman" w:hAnsi="Times New Roman" w:eastAsia="仿宋" w:cs="Times New Roman"/>
          <w:sz w:val="28"/>
          <w:szCs w:val="32"/>
          <w:lang w:val="en-US" w:eastAsia="zh-CN" w:bidi="ar-SA"/>
        </w:rPr>
        <w:t>供暖拟由高平市集中供热中心管网接入，接至片区新建换热站，供给各用热单元。</w:t>
      </w:r>
    </w:p>
    <w:p w14:paraId="2E8D24F0">
      <w:pPr>
        <w:spacing w:line="240" w:lineRule="auto"/>
        <w:ind w:firstLine="640"/>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建宁商业片区：</w:t>
      </w:r>
      <w:r>
        <w:rPr>
          <w:rFonts w:hint="eastAsia" w:ascii="Times New Roman" w:hAnsi="Times New Roman" w:eastAsia="仿宋" w:cs="Times New Roman"/>
          <w:sz w:val="28"/>
          <w:szCs w:val="32"/>
          <w:highlight w:val="none"/>
          <w:lang w:val="en-US" w:eastAsia="zh-CN" w:bidi="ar-SA"/>
        </w:rPr>
        <w:t>片区电源引自电源由园区供电管网接入。</w:t>
      </w:r>
    </w:p>
    <w:p w14:paraId="404BF087">
      <w:pPr>
        <w:pStyle w:val="4"/>
        <w:numPr>
          <w:ilvl w:val="2"/>
          <w:numId w:val="0"/>
        </w:numPr>
        <w:bidi w:val="0"/>
        <w:ind w:left="720" w:leftChars="0" w:hanging="720" w:firstLineChars="0"/>
        <w:rPr>
          <w:rFonts w:hint="default"/>
          <w:sz w:val="28"/>
          <w:szCs w:val="32"/>
          <w:highlight w:val="none"/>
          <w:lang w:val="en-US" w:eastAsia="zh-CN"/>
        </w:rPr>
      </w:pPr>
      <w:r>
        <w:rPr>
          <w:rFonts w:hint="eastAsia" w:ascii="Times New Roman" w:hAnsi="Times New Roman" w:eastAsia="仿宋" w:cs="Times New Roman"/>
          <w:b/>
          <w:bCs/>
          <w:kern w:val="2"/>
          <w:sz w:val="28"/>
          <w:szCs w:val="32"/>
          <w:highlight w:val="none"/>
          <w:lang w:val="en-US" w:eastAsia="zh-CN" w:bidi="ar-SA"/>
        </w:rPr>
        <w:t>2.5.</w:t>
      </w:r>
      <w:r>
        <w:rPr>
          <w:rFonts w:hint="eastAsia" w:cs="Times New Roman"/>
          <w:b/>
          <w:bCs/>
          <w:kern w:val="2"/>
          <w:sz w:val="28"/>
          <w:szCs w:val="32"/>
          <w:highlight w:val="none"/>
          <w:lang w:val="en-US" w:eastAsia="zh-CN" w:bidi="ar-SA"/>
        </w:rPr>
        <w:t>5</w:t>
      </w:r>
      <w:r>
        <w:rPr>
          <w:rFonts w:hint="eastAsia" w:ascii="Times New Roman" w:hAnsi="Times New Roman" w:eastAsia="仿宋" w:cs="Times New Roman"/>
          <w:b/>
          <w:bCs/>
          <w:kern w:val="2"/>
          <w:sz w:val="28"/>
          <w:szCs w:val="32"/>
          <w:highlight w:val="none"/>
          <w:lang w:val="en-US" w:eastAsia="zh-CN" w:bidi="ar-SA"/>
        </w:rPr>
        <w:t>.</w:t>
      </w:r>
      <w:r>
        <w:rPr>
          <w:rFonts w:hint="default"/>
          <w:sz w:val="28"/>
          <w:szCs w:val="32"/>
          <w:highlight w:val="none"/>
          <w:lang w:val="en-US" w:eastAsia="zh-CN"/>
        </w:rPr>
        <w:t>供气条件</w:t>
      </w:r>
    </w:p>
    <w:p w14:paraId="1729AF3F">
      <w:pPr>
        <w:spacing w:line="240" w:lineRule="auto"/>
        <w:ind w:firstLine="640"/>
        <w:rPr>
          <w:rFonts w:hint="default" w:ascii="Times New Roman" w:hAnsi="Times New Roman" w:eastAsia="仿宋" w:cs="Times New Roman"/>
          <w:sz w:val="28"/>
          <w:szCs w:val="28"/>
          <w:highlight w:val="none"/>
          <w:lang w:bidi="ar-SA"/>
        </w:rPr>
      </w:pPr>
      <w:r>
        <w:rPr>
          <w:rFonts w:hint="default" w:ascii="Times New Roman" w:hAnsi="Times New Roman" w:eastAsia="仿宋" w:cs="Times New Roman"/>
          <w:sz w:val="28"/>
          <w:szCs w:val="28"/>
          <w:highlight w:val="none"/>
          <w:lang w:bidi="ar-SA"/>
        </w:rPr>
        <w:t>采用以天然气为主，液化气为辅的供气方式。采用双气源供气方式，包括现状晋城—长治煤层气输气管道和过境的临汾—长治长输管线。将晋城—长治煤层气输气管道高平分输阀室改扩建为门站，向市域东部镇区供气，各镇区新建调压站，用气量大的工业用户，宜采用工业专用线供气。城乡生活及公建用户采用天然气中压供气，保留现状2座天然气门站，规划新建一座天然气门站，米山镇设置液化石油气分输站。</w:t>
      </w:r>
    </w:p>
    <w:p w14:paraId="5EAF418B">
      <w:pPr>
        <w:spacing w:line="240" w:lineRule="auto"/>
        <w:ind w:firstLine="640"/>
        <w:rPr>
          <w:rFonts w:hint="eastAsia" w:ascii="Times New Roman" w:hAnsi="Times New Roman" w:eastAsia="仿宋" w:cs="Times New Roman"/>
          <w:sz w:val="28"/>
          <w:szCs w:val="28"/>
          <w:highlight w:val="none"/>
          <w:lang w:eastAsia="zh-CN" w:bidi="ar-SA"/>
        </w:rPr>
      </w:pPr>
      <w:r>
        <w:rPr>
          <w:rFonts w:hint="default" w:ascii="Times New Roman" w:hAnsi="Times New Roman" w:eastAsia="仿宋" w:cs="Times New Roman"/>
          <w:sz w:val="28"/>
          <w:szCs w:val="28"/>
          <w:highlight w:val="none"/>
          <w:lang w:bidi="ar-SA"/>
        </w:rPr>
        <w:t>建设城市及主要乡镇一体的天然气管网系统，城乡生活及公建用户采用天然气中压供气，管网沿城市及村镇主要道路修建，新建管道采用直埋敷设形式</w:t>
      </w:r>
      <w:r>
        <w:rPr>
          <w:rFonts w:hint="eastAsia" w:ascii="Times New Roman" w:hAnsi="Times New Roman" w:eastAsia="仿宋" w:cs="Times New Roman"/>
          <w:sz w:val="28"/>
          <w:szCs w:val="28"/>
          <w:highlight w:val="none"/>
          <w:lang w:eastAsia="zh-CN" w:bidi="ar-SA"/>
        </w:rPr>
        <w:t>。</w:t>
      </w:r>
    </w:p>
    <w:p w14:paraId="5BC209A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lang w:val="en-US" w:eastAsia="zh-CN" w:bidi="ar-SA"/>
        </w:rPr>
        <w:t>、</w:t>
      </w:r>
      <w:r>
        <w:rPr>
          <w:rFonts w:hint="eastAsia" w:ascii="Times New Roman" w:hAnsi="Times New Roman" w:eastAsia="仿宋" w:cs="Times New Roman"/>
          <w:b/>
          <w:bCs/>
          <w:sz w:val="28"/>
          <w:szCs w:val="32"/>
          <w:highlight w:val="none"/>
          <w:lang w:val="en-US" w:eastAsia="zh-CN" w:bidi="ar-SA"/>
        </w:rPr>
        <w:t>米山北工业片区、米山道路片区、高铁新区A片区</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苏庄商业片区1</w:t>
      </w:r>
      <w:r>
        <w:rPr>
          <w:rFonts w:hint="default" w:ascii="Times New Roman" w:hAnsi="Times New Roman" w:eastAsia="仿宋" w:cs="Times New Roman"/>
          <w:b/>
          <w:bCs/>
          <w:sz w:val="28"/>
          <w:szCs w:val="32"/>
          <w:highlight w:val="none"/>
          <w:lang w:eastAsia="zh-CN" w:bidi="ar-SA"/>
        </w:rPr>
        <w:t>、</w:t>
      </w:r>
      <w:r>
        <w:rPr>
          <w:rFonts w:hint="eastAsia" w:ascii="Times New Roman" w:hAnsi="Times New Roman" w:eastAsia="仿宋" w:cs="Times New Roman"/>
          <w:b/>
          <w:bCs/>
          <w:sz w:val="28"/>
          <w:szCs w:val="32"/>
          <w:highlight w:val="none"/>
          <w:lang w:val="en-US" w:eastAsia="zh-CN" w:bidi="ar-SA"/>
        </w:rPr>
        <w:t>苏庄商业片区、许庄物流片区、建宁商业片区：</w:t>
      </w:r>
      <w:r>
        <w:rPr>
          <w:rFonts w:hint="default" w:ascii="Times New Roman" w:hAnsi="Times New Roman" w:eastAsia="仿宋" w:cs="Times New Roman"/>
          <w:sz w:val="28"/>
          <w:szCs w:val="32"/>
          <w:highlight w:val="none"/>
          <w:lang w:val="en-US" w:eastAsia="zh-CN" w:bidi="ar-SA"/>
        </w:rPr>
        <w:t>规划以中低压二级管网供气方式为主。规划设置1座门站、2座储配站，分别为：高平门站、城北储配站、城西南储配站。</w:t>
      </w:r>
    </w:p>
    <w:p w14:paraId="11D6F83D">
      <w:pPr>
        <w:spacing w:line="240" w:lineRule="auto"/>
        <w:rPr>
          <w:rFonts w:hint="default" w:ascii="Times New Roman" w:hAnsi="Times New Roman" w:eastAsia="仿宋" w:cs="Times New Roman"/>
          <w:sz w:val="28"/>
          <w:szCs w:val="32"/>
          <w:highlight w:val="none"/>
          <w:lang w:val="en-US" w:eastAsia="zh-CN" w:bidi="ar-SA"/>
        </w:rPr>
      </w:pPr>
      <w:r>
        <w:rPr>
          <w:rFonts w:hint="default" w:ascii="Times New Roman" w:hAnsi="Times New Roman" w:eastAsia="仿宋" w:cs="Times New Roman"/>
          <w:sz w:val="28"/>
          <w:szCs w:val="32"/>
          <w:highlight w:val="none"/>
          <w:lang w:val="en-US" w:eastAsia="zh-CN" w:bidi="ar-SA"/>
        </w:rPr>
        <w:br w:type="page"/>
      </w:r>
    </w:p>
    <w:p w14:paraId="25C53F9A">
      <w:pPr>
        <w:pStyle w:val="2"/>
        <w:numPr>
          <w:ilvl w:val="0"/>
          <w:numId w:val="0"/>
        </w:numPr>
        <w:bidi w:val="0"/>
        <w:ind w:left="432" w:leftChars="0" w:hanging="432" w:firstLineChars="0"/>
        <w:jc w:val="both"/>
        <w:rPr>
          <w:rFonts w:hint="default"/>
          <w:sz w:val="40"/>
          <w:szCs w:val="40"/>
        </w:rPr>
      </w:pPr>
      <w:bookmarkStart w:id="20" w:name="_Toc23542"/>
      <w:r>
        <w:rPr>
          <w:rFonts w:hint="default" w:ascii="Times New Roman" w:hAnsi="Times New Roman" w:eastAsia="仿宋" w:cs="Times New Roman"/>
          <w:b/>
          <w:bCs/>
          <w:kern w:val="44"/>
          <w:sz w:val="40"/>
          <w:szCs w:val="40"/>
          <w:lang w:val="en-US" w:eastAsia="zh-CN"/>
        </w:rPr>
        <w:t>3.</w:t>
      </w:r>
      <w:r>
        <w:rPr>
          <w:rFonts w:hint="default"/>
          <w:sz w:val="40"/>
          <w:szCs w:val="40"/>
        </w:rPr>
        <w:t>方案的</w:t>
      </w:r>
      <w:r>
        <w:rPr>
          <w:rFonts w:hint="eastAsia"/>
          <w:sz w:val="40"/>
          <w:szCs w:val="40"/>
          <w:lang w:val="en-US" w:eastAsia="zh-CN"/>
        </w:rPr>
        <w:t>必要性</w:t>
      </w:r>
      <w:bookmarkEnd w:id="20"/>
    </w:p>
    <w:p w14:paraId="2FB97E7F">
      <w:pPr>
        <w:pStyle w:val="3"/>
        <w:numPr>
          <w:ilvl w:val="1"/>
          <w:numId w:val="0"/>
        </w:numPr>
        <w:tabs>
          <w:tab w:val="clear" w:pos="420"/>
        </w:tabs>
        <w:bidi w:val="0"/>
        <w:ind w:left="575" w:leftChars="0" w:hanging="575" w:firstLineChars="0"/>
        <w:rPr>
          <w:rFonts w:hint="default"/>
          <w:sz w:val="32"/>
          <w:szCs w:val="32"/>
        </w:rPr>
      </w:pPr>
      <w:bookmarkStart w:id="21" w:name="_Toc23862"/>
      <w:r>
        <w:rPr>
          <w:rFonts w:hint="eastAsia" w:ascii="Times New Roman" w:hAnsi="Times New Roman" w:eastAsia="仿宋" w:cs="Times New Roman"/>
          <w:b/>
          <w:bCs/>
          <w:kern w:val="2"/>
          <w:sz w:val="32"/>
          <w:szCs w:val="32"/>
          <w:lang w:val="en-US" w:eastAsia="zh-CN"/>
        </w:rPr>
        <w:t>3.1.</w:t>
      </w:r>
      <w:r>
        <w:rPr>
          <w:rFonts w:hint="default"/>
          <w:sz w:val="32"/>
          <w:szCs w:val="32"/>
        </w:rPr>
        <w:t>进一步优化空间布局、促进国土空间规划的实施</w:t>
      </w:r>
      <w:bookmarkEnd w:id="21"/>
    </w:p>
    <w:p w14:paraId="686A6221">
      <w:pPr>
        <w:spacing w:line="240" w:lineRule="auto"/>
        <w:ind w:firstLine="640"/>
        <w:rPr>
          <w:rFonts w:hint="default" w:ascii="Times New Roman" w:hAnsi="Times New Roman" w:eastAsia="仿宋" w:cs="Times New Roman"/>
          <w:sz w:val="28"/>
          <w:szCs w:val="32"/>
          <w:lang w:val="en-US" w:eastAsia="zh-CN" w:bidi="ar-SA"/>
        </w:rPr>
      </w:pPr>
      <w:r>
        <w:rPr>
          <w:rFonts w:hint="default" w:ascii="Times New Roman" w:hAnsi="Times New Roman" w:eastAsia="仿宋" w:cs="Times New Roman"/>
          <w:sz w:val="28"/>
          <w:szCs w:val="32"/>
          <w:lang w:eastAsia="zh-CN" w:bidi="ar-SA"/>
        </w:rPr>
        <w:t>结合国土空间规划和中心城区各片区控制性详细规划，编制土地征收成片方案并实施，</w:t>
      </w:r>
      <w:r>
        <w:rPr>
          <w:rFonts w:hint="default" w:ascii="Times New Roman" w:hAnsi="Times New Roman" w:eastAsia="仿宋" w:cs="Times New Roman"/>
          <w:sz w:val="28"/>
          <w:szCs w:val="32"/>
          <w:lang w:val="en-US" w:eastAsia="zh-CN" w:bidi="ar-SA"/>
        </w:rPr>
        <w:t>以</w:t>
      </w:r>
      <w:r>
        <w:rPr>
          <w:rFonts w:hint="eastAsia" w:ascii="Times New Roman" w:hAnsi="Times New Roman" w:eastAsia="仿宋" w:cs="Times New Roman"/>
          <w:sz w:val="28"/>
          <w:szCs w:val="32"/>
          <w:lang w:val="en-US" w:eastAsia="zh-CN" w:bidi="ar-SA"/>
        </w:rPr>
        <w:t>建设</w:t>
      </w:r>
      <w:r>
        <w:rPr>
          <w:rFonts w:hint="default" w:ascii="Times New Roman" w:hAnsi="Times New Roman" w:eastAsia="仿宋" w:cs="Times New Roman"/>
          <w:sz w:val="28"/>
          <w:szCs w:val="32"/>
          <w:lang w:val="en-US" w:eastAsia="zh-CN" w:bidi="ar-SA"/>
        </w:rPr>
        <w:t>华夏文明特色魅力古城，资源型产业转型升级与新兴产业发展基地，宜居宜业的现代旅游休闲城市</w:t>
      </w:r>
      <w:r>
        <w:rPr>
          <w:rFonts w:hint="eastAsia" w:ascii="Times New Roman" w:hAnsi="Times New Roman" w:eastAsia="仿宋" w:cs="Times New Roman"/>
          <w:sz w:val="28"/>
          <w:szCs w:val="32"/>
          <w:lang w:val="en-US" w:eastAsia="zh-CN" w:bidi="ar-SA"/>
        </w:rPr>
        <w:t>为目标。</w:t>
      </w:r>
    </w:p>
    <w:p w14:paraId="52D49812">
      <w:pPr>
        <w:spacing w:line="240" w:lineRule="auto"/>
        <w:ind w:firstLine="640"/>
        <w:rPr>
          <w:rFonts w:hint="default" w:ascii="Times New Roman" w:hAnsi="Times New Roman" w:eastAsia="仿宋" w:cs="Times New Roman"/>
          <w:color w:val="0000FF"/>
          <w:sz w:val="28"/>
          <w:szCs w:val="32"/>
          <w:lang w:val="en-US" w:eastAsia="zh-CN" w:bidi="ar-SA"/>
        </w:rPr>
      </w:pPr>
      <w:r>
        <w:rPr>
          <w:rFonts w:hint="default" w:ascii="Times New Roman" w:hAnsi="Times New Roman" w:eastAsia="仿宋" w:cs="Times New Roman"/>
          <w:color w:val="auto"/>
          <w:sz w:val="28"/>
          <w:szCs w:val="32"/>
          <w:lang w:val="en-US" w:eastAsia="zh-CN" w:bidi="ar-SA"/>
        </w:rPr>
        <w:t>按照“六新”要求，深入挖掘文化内涵，讲好“历史故事”，持续叫响叫亮“神农炎帝故里、长平之战发生地、上党梆子之乡、中国古建博物馆”四张文化名片。推进工业和信息化高质量转型发展。充分发挥资源型产业的优势，并加快产业升级与转型，大力发展接续产业，推动装备制造、新材料等新兴制造业的发展。全面推进乡村振兴，打造宜居宜业宜游的美丽高平。发展有机旱作农业，培育果品、小杂粮、蔬菜等农产品特色基地。在大健康、大康养、大文旅深度融合、竞相发展的格局下，着力打造富有高平特色的康养事业、康养产业，以康养助推高质量发展、人民高品质生活</w:t>
      </w:r>
      <w:r>
        <w:rPr>
          <w:rFonts w:hint="eastAsia" w:ascii="Times New Roman" w:hAnsi="Times New Roman" w:eastAsia="仿宋" w:cs="Times New Roman"/>
          <w:color w:val="auto"/>
          <w:sz w:val="28"/>
          <w:szCs w:val="32"/>
          <w:lang w:val="en-US" w:eastAsia="zh-CN" w:bidi="ar-SA"/>
        </w:rPr>
        <w:t>。</w:t>
      </w:r>
    </w:p>
    <w:p w14:paraId="7851A7AA">
      <w:pPr>
        <w:pStyle w:val="3"/>
        <w:numPr>
          <w:ilvl w:val="1"/>
          <w:numId w:val="0"/>
        </w:numPr>
        <w:tabs>
          <w:tab w:val="clear" w:pos="420"/>
        </w:tabs>
        <w:bidi w:val="0"/>
        <w:ind w:left="575" w:leftChars="0" w:hanging="575" w:firstLineChars="0"/>
        <w:rPr>
          <w:rFonts w:hint="default"/>
          <w:sz w:val="32"/>
          <w:szCs w:val="32"/>
        </w:rPr>
      </w:pPr>
      <w:bookmarkStart w:id="22" w:name="_Toc23787"/>
      <w:r>
        <w:rPr>
          <w:rFonts w:hint="eastAsia" w:ascii="Times New Roman" w:hAnsi="Times New Roman" w:eastAsia="仿宋" w:cs="Times New Roman"/>
          <w:b/>
          <w:bCs/>
          <w:kern w:val="2"/>
          <w:sz w:val="32"/>
          <w:szCs w:val="32"/>
          <w:lang w:val="en-US" w:eastAsia="zh-CN"/>
        </w:rPr>
        <w:t>3.</w:t>
      </w:r>
      <w:r>
        <w:rPr>
          <w:rFonts w:hint="eastAsia" w:cs="Times New Roman"/>
          <w:b/>
          <w:bCs/>
          <w:kern w:val="2"/>
          <w:sz w:val="32"/>
          <w:szCs w:val="32"/>
          <w:lang w:val="en-US" w:eastAsia="zh-CN"/>
        </w:rPr>
        <w:t>2</w:t>
      </w:r>
      <w:r>
        <w:rPr>
          <w:rFonts w:hint="eastAsia" w:ascii="Times New Roman" w:hAnsi="Times New Roman" w:eastAsia="仿宋" w:cs="Times New Roman"/>
          <w:b/>
          <w:bCs/>
          <w:kern w:val="2"/>
          <w:sz w:val="32"/>
          <w:szCs w:val="32"/>
          <w:lang w:val="en-US" w:eastAsia="zh-CN"/>
        </w:rPr>
        <w:t>.</w:t>
      </w:r>
      <w:r>
        <w:rPr>
          <w:rFonts w:hint="default"/>
          <w:sz w:val="32"/>
          <w:szCs w:val="32"/>
        </w:rPr>
        <w:t>切实保护耕地，集约节约利用土地</w:t>
      </w:r>
      <w:bookmarkEnd w:id="22"/>
    </w:p>
    <w:p w14:paraId="42FB34D5">
      <w:pPr>
        <w:spacing w:line="240" w:lineRule="auto"/>
        <w:ind w:firstLine="640"/>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成片开发范围明确要求必须在国土空间规划确定的城镇</w:t>
      </w:r>
      <w:r>
        <w:rPr>
          <w:rFonts w:hint="eastAsia" w:ascii="Times New Roman" w:hAnsi="Times New Roman" w:eastAsia="仿宋" w:cs="Times New Roman"/>
          <w:sz w:val="28"/>
          <w:szCs w:val="32"/>
          <w:lang w:val="en-US" w:eastAsia="zh-CN" w:bidi="ar-SA"/>
        </w:rPr>
        <w:t>建设用地范围内</w:t>
      </w:r>
      <w:r>
        <w:rPr>
          <w:rFonts w:hint="default" w:ascii="Times New Roman" w:hAnsi="Times New Roman" w:eastAsia="仿宋" w:cs="Times New Roman"/>
          <w:sz w:val="28"/>
          <w:szCs w:val="32"/>
          <w:lang w:eastAsia="zh-CN" w:bidi="ar-SA"/>
        </w:rPr>
        <w:t>，禁止占用永久基本农田，</w:t>
      </w:r>
      <w:r>
        <w:rPr>
          <w:rFonts w:hint="eastAsia" w:ascii="Times New Roman" w:hAnsi="Times New Roman" w:eastAsia="仿宋" w:cs="Times New Roman"/>
          <w:sz w:val="28"/>
          <w:szCs w:val="32"/>
          <w:lang w:val="en-US" w:eastAsia="zh-CN" w:bidi="ar-SA"/>
        </w:rPr>
        <w:t>可以</w:t>
      </w:r>
      <w:r>
        <w:rPr>
          <w:rFonts w:hint="default" w:ascii="Times New Roman" w:hAnsi="Times New Roman" w:eastAsia="仿宋" w:cs="Times New Roman"/>
          <w:sz w:val="28"/>
          <w:szCs w:val="32"/>
          <w:lang w:eastAsia="zh-CN" w:bidi="ar-SA"/>
        </w:rPr>
        <w:t>有效</w:t>
      </w:r>
      <w:r>
        <w:rPr>
          <w:rFonts w:hint="eastAsia" w:ascii="Times New Roman" w:hAnsi="Times New Roman" w:eastAsia="仿宋" w:cs="Times New Roman"/>
          <w:sz w:val="28"/>
          <w:szCs w:val="32"/>
          <w:lang w:val="en-US" w:eastAsia="zh-CN" w:bidi="ar-SA"/>
        </w:rPr>
        <w:t>减少</w:t>
      </w:r>
      <w:r>
        <w:rPr>
          <w:rFonts w:hint="default" w:ascii="Times New Roman" w:hAnsi="Times New Roman" w:eastAsia="仿宋" w:cs="Times New Roman"/>
          <w:sz w:val="28"/>
          <w:szCs w:val="32"/>
          <w:lang w:eastAsia="zh-CN" w:bidi="ar-SA"/>
        </w:rPr>
        <w:t>建设</w:t>
      </w:r>
      <w:r>
        <w:rPr>
          <w:rFonts w:hint="eastAsia" w:ascii="Times New Roman" w:hAnsi="Times New Roman" w:eastAsia="仿宋" w:cs="Times New Roman"/>
          <w:sz w:val="28"/>
          <w:szCs w:val="32"/>
          <w:lang w:val="en-US" w:eastAsia="zh-CN" w:bidi="ar-SA"/>
        </w:rPr>
        <w:t>用地</w:t>
      </w:r>
      <w:r>
        <w:rPr>
          <w:rFonts w:hint="default" w:ascii="Times New Roman" w:hAnsi="Times New Roman" w:eastAsia="仿宋" w:cs="Times New Roman"/>
          <w:sz w:val="28"/>
          <w:szCs w:val="32"/>
          <w:lang w:eastAsia="zh-CN" w:bidi="ar-SA"/>
        </w:rPr>
        <w:t>对耕地的占用。同时成片开发可以在空间上连续，充分发挥城市的集聚效应，可使资金、产业进一步聚集，进一步明确实现的功能、拟安排的建设项目、开发时序和年度实施计划等，为建设项目更快落地创造条件，为合法合规批地供地提供依据，实现土地综合利用和高效利用。</w:t>
      </w:r>
    </w:p>
    <w:p w14:paraId="2F9FE0EA">
      <w:pPr>
        <w:pStyle w:val="3"/>
        <w:numPr>
          <w:ilvl w:val="1"/>
          <w:numId w:val="0"/>
        </w:numPr>
        <w:tabs>
          <w:tab w:val="clear" w:pos="420"/>
        </w:tabs>
        <w:bidi w:val="0"/>
        <w:ind w:left="575" w:leftChars="0" w:hanging="575" w:firstLineChars="0"/>
        <w:rPr>
          <w:rFonts w:hint="default"/>
          <w:sz w:val="32"/>
          <w:szCs w:val="32"/>
          <w:lang w:val="en-US" w:eastAsia="zh-CN"/>
        </w:rPr>
      </w:pPr>
      <w:bookmarkStart w:id="23" w:name="_Toc23133"/>
      <w:r>
        <w:rPr>
          <w:rFonts w:hint="eastAsia" w:ascii="Times New Roman" w:hAnsi="Times New Roman" w:eastAsia="仿宋" w:cs="Times New Roman"/>
          <w:b/>
          <w:bCs/>
          <w:kern w:val="2"/>
          <w:sz w:val="32"/>
          <w:szCs w:val="32"/>
          <w:lang w:val="en-US" w:eastAsia="zh-CN"/>
        </w:rPr>
        <w:t>3.</w:t>
      </w:r>
      <w:r>
        <w:rPr>
          <w:rFonts w:hint="eastAsia" w:cs="Times New Roman"/>
          <w:b/>
          <w:bCs/>
          <w:kern w:val="2"/>
          <w:sz w:val="32"/>
          <w:szCs w:val="32"/>
          <w:lang w:val="en-US" w:eastAsia="zh-CN"/>
        </w:rPr>
        <w:t>3</w:t>
      </w:r>
      <w:r>
        <w:rPr>
          <w:rFonts w:hint="eastAsia" w:ascii="Times New Roman" w:hAnsi="Times New Roman" w:eastAsia="仿宋" w:cs="Times New Roman"/>
          <w:b/>
          <w:bCs/>
          <w:kern w:val="2"/>
          <w:sz w:val="32"/>
          <w:szCs w:val="32"/>
          <w:lang w:val="en-US" w:eastAsia="zh-CN"/>
        </w:rPr>
        <w:t>.</w:t>
      </w:r>
      <w:r>
        <w:rPr>
          <w:rFonts w:hint="default"/>
          <w:sz w:val="32"/>
          <w:szCs w:val="32"/>
          <w:lang w:val="en-US" w:eastAsia="zh-CN"/>
        </w:rPr>
        <w:t>优化产业结构</w:t>
      </w:r>
      <w:r>
        <w:rPr>
          <w:rFonts w:hint="eastAsia"/>
          <w:sz w:val="32"/>
          <w:szCs w:val="32"/>
          <w:lang w:val="en-US" w:eastAsia="zh-CN"/>
        </w:rPr>
        <w:t>，推动</w:t>
      </w:r>
      <w:r>
        <w:rPr>
          <w:rFonts w:hint="default"/>
          <w:sz w:val="32"/>
          <w:szCs w:val="32"/>
          <w:lang w:val="en-US" w:eastAsia="zh-CN"/>
        </w:rPr>
        <w:t>项目建设</w:t>
      </w:r>
      <w:r>
        <w:rPr>
          <w:rFonts w:hint="eastAsia"/>
          <w:sz w:val="32"/>
          <w:szCs w:val="32"/>
          <w:lang w:val="en-US" w:eastAsia="zh-CN"/>
        </w:rPr>
        <w:t>落地</w:t>
      </w:r>
      <w:bookmarkEnd w:id="23"/>
    </w:p>
    <w:p w14:paraId="117FF989">
      <w:pPr>
        <w:spacing w:line="240" w:lineRule="auto"/>
        <w:ind w:firstLine="640"/>
        <w:rPr>
          <w:rFonts w:hint="default" w:ascii="Times New Roman" w:hAnsi="Times New Roman" w:eastAsia="仿宋" w:cs="Times New Roman"/>
          <w:sz w:val="28"/>
          <w:szCs w:val="32"/>
          <w:lang w:val="en-US" w:eastAsia="zh-CN" w:bidi="ar-SA"/>
        </w:rPr>
      </w:pPr>
      <w:bookmarkStart w:id="24" w:name="_Toc10720"/>
      <w:bookmarkStart w:id="25" w:name="_Toc4929"/>
      <w:bookmarkStart w:id="26" w:name="_Toc20915"/>
      <w:bookmarkStart w:id="27" w:name="_Toc1077"/>
      <w:bookmarkStart w:id="28" w:name="_Toc28136"/>
      <w:r>
        <w:rPr>
          <w:rFonts w:hint="default" w:ascii="Times New Roman" w:hAnsi="Times New Roman" w:eastAsia="仿宋" w:cs="Times New Roman"/>
          <w:sz w:val="28"/>
          <w:szCs w:val="32"/>
          <w:lang w:eastAsia="zh-CN" w:bidi="ar-SA"/>
        </w:rPr>
        <w:t>综合考虑基础设施、</w:t>
      </w:r>
      <w:r>
        <w:rPr>
          <w:rFonts w:hint="eastAsia" w:ascii="Times New Roman" w:hAnsi="Times New Roman" w:eastAsia="仿宋" w:cs="Times New Roman"/>
          <w:sz w:val="28"/>
          <w:szCs w:val="32"/>
          <w:lang w:val="en-US" w:eastAsia="zh-CN" w:bidi="ar-SA"/>
        </w:rPr>
        <w:t>工业用地、</w:t>
      </w:r>
      <w:r>
        <w:rPr>
          <w:rFonts w:hint="default" w:ascii="Times New Roman" w:hAnsi="Times New Roman" w:eastAsia="仿宋" w:cs="Times New Roman"/>
          <w:sz w:val="28"/>
          <w:szCs w:val="32"/>
          <w:lang w:eastAsia="zh-CN" w:bidi="ar-SA"/>
        </w:rPr>
        <w:t>房产开发、商业服务业配套和公共管理服务，通过统筹规划各类配置，各种功能相互协调，做好重点工程、重大项目的土地要素保障，营造高品质的城市空间。</w:t>
      </w:r>
      <w:r>
        <w:rPr>
          <w:rFonts w:hint="default" w:ascii="Times New Roman" w:hAnsi="Times New Roman" w:eastAsia="仿宋" w:cs="Times New Roman"/>
          <w:sz w:val="28"/>
          <w:szCs w:val="32"/>
          <w:lang w:val="en-US" w:eastAsia="zh-CN" w:bidi="ar-SA"/>
        </w:rPr>
        <w:t>成片开发方案的编制实施</w:t>
      </w:r>
      <w:r>
        <w:rPr>
          <w:rFonts w:hint="eastAsia" w:ascii="Times New Roman" w:hAnsi="Times New Roman" w:eastAsia="仿宋" w:cs="Times New Roman"/>
          <w:sz w:val="28"/>
          <w:szCs w:val="32"/>
          <w:lang w:val="en-US" w:eastAsia="zh-CN" w:bidi="ar-SA"/>
        </w:rPr>
        <w:t>可促</w:t>
      </w:r>
      <w:r>
        <w:rPr>
          <w:rFonts w:hint="default" w:ascii="Times New Roman" w:hAnsi="Times New Roman" w:eastAsia="仿宋" w:cs="Times New Roman"/>
          <w:sz w:val="28"/>
          <w:szCs w:val="32"/>
          <w:lang w:eastAsia="zh-CN" w:bidi="ar-SA"/>
        </w:rPr>
        <w:t>进《高平市国民经济和社会发展第十四个五年规划纲要》、《高平市国土空间总体规划（2021-2035年）》等相关规划的指标、要求和建设内容尽快有序落地，逐步实现相关规划设定的发展和建设目标，体现规划的法定性、时效性和指导价值。</w:t>
      </w:r>
      <w:r>
        <w:rPr>
          <w:rFonts w:hint="default" w:ascii="Times New Roman" w:hAnsi="Times New Roman" w:eastAsia="仿宋" w:cs="Times New Roman"/>
          <w:sz w:val="28"/>
          <w:szCs w:val="32"/>
          <w:lang w:val="en-US" w:eastAsia="zh-CN" w:bidi="ar-SA"/>
        </w:rPr>
        <w:t>可加快</w:t>
      </w:r>
      <w:r>
        <w:rPr>
          <w:rFonts w:hint="eastAsia" w:ascii="Times New Roman" w:hAnsi="Times New Roman" w:eastAsia="仿宋" w:cs="Times New Roman"/>
          <w:sz w:val="28"/>
          <w:szCs w:val="32"/>
          <w:lang w:val="en-US" w:eastAsia="zh-CN" w:bidi="ar-SA"/>
        </w:rPr>
        <w:t>高平市</w:t>
      </w:r>
      <w:r>
        <w:rPr>
          <w:rFonts w:hint="default" w:ascii="Times New Roman" w:hAnsi="Times New Roman" w:eastAsia="仿宋" w:cs="Times New Roman"/>
          <w:sz w:val="28"/>
          <w:szCs w:val="32"/>
          <w:lang w:val="en-US" w:eastAsia="zh-CN" w:bidi="ar-SA"/>
        </w:rPr>
        <w:t>区域经济转型、推动产业链和创新链协同发展，形成创新经济集聚发展新格局，</w:t>
      </w:r>
      <w:bookmarkEnd w:id="24"/>
      <w:bookmarkEnd w:id="25"/>
      <w:bookmarkEnd w:id="26"/>
      <w:bookmarkEnd w:id="27"/>
      <w:bookmarkEnd w:id="28"/>
      <w:r>
        <w:rPr>
          <w:rFonts w:hint="default" w:ascii="Times New Roman" w:hAnsi="Times New Roman" w:eastAsia="仿宋" w:cs="Times New Roman"/>
          <w:sz w:val="28"/>
          <w:szCs w:val="32"/>
          <w:lang w:val="en-US" w:eastAsia="zh-CN" w:bidi="ar-SA"/>
        </w:rPr>
        <w:t>有利于政府统一组织实施基础设施建设，统一组织项目招商引资，加快推动区域的开发建设。</w:t>
      </w:r>
    </w:p>
    <w:p w14:paraId="4DB40EE5">
      <w:pPr>
        <w:pStyle w:val="3"/>
        <w:numPr>
          <w:ilvl w:val="1"/>
          <w:numId w:val="0"/>
        </w:numPr>
        <w:tabs>
          <w:tab w:val="clear" w:pos="420"/>
        </w:tabs>
        <w:bidi w:val="0"/>
        <w:ind w:left="575" w:leftChars="0" w:hanging="575" w:firstLineChars="0"/>
        <w:rPr>
          <w:rFonts w:hint="default"/>
          <w:sz w:val="32"/>
          <w:szCs w:val="32"/>
        </w:rPr>
      </w:pPr>
      <w:bookmarkStart w:id="29" w:name="_Toc6020"/>
      <w:r>
        <w:rPr>
          <w:rFonts w:hint="eastAsia" w:ascii="Times New Roman" w:hAnsi="Times New Roman" w:eastAsia="仿宋" w:cs="Times New Roman"/>
          <w:b/>
          <w:bCs/>
          <w:kern w:val="2"/>
          <w:sz w:val="32"/>
          <w:szCs w:val="32"/>
          <w:lang w:val="en-US" w:eastAsia="zh-CN"/>
        </w:rPr>
        <w:t>3.</w:t>
      </w:r>
      <w:r>
        <w:rPr>
          <w:rFonts w:hint="eastAsia" w:cs="Times New Roman"/>
          <w:b/>
          <w:bCs/>
          <w:kern w:val="2"/>
          <w:sz w:val="32"/>
          <w:szCs w:val="32"/>
          <w:lang w:val="en-US" w:eastAsia="zh-CN"/>
        </w:rPr>
        <w:t>4</w:t>
      </w:r>
      <w:r>
        <w:rPr>
          <w:rFonts w:hint="eastAsia" w:ascii="Times New Roman" w:hAnsi="Times New Roman" w:eastAsia="仿宋" w:cs="Times New Roman"/>
          <w:b/>
          <w:bCs/>
          <w:kern w:val="2"/>
          <w:sz w:val="32"/>
          <w:szCs w:val="32"/>
          <w:lang w:val="en-US" w:eastAsia="zh-CN"/>
        </w:rPr>
        <w:t>.</w:t>
      </w:r>
      <w:r>
        <w:rPr>
          <w:rFonts w:hint="default"/>
          <w:sz w:val="32"/>
          <w:szCs w:val="32"/>
        </w:rPr>
        <w:t>维护被征地农民的权益，多渠道增加农民收益</w:t>
      </w:r>
      <w:bookmarkEnd w:id="29"/>
    </w:p>
    <w:p w14:paraId="23A729D4">
      <w:pPr>
        <w:spacing w:line="240" w:lineRule="auto"/>
        <w:ind w:firstLine="640"/>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t>落实村集体的发展需求，推动项目落地，切实保障被征地农民的合法权益，助力乡村振兴战略的实施。同时，该区域纳入土地征收成片开发，有利于统一土地征收补偿，公平保障农民权益，防止农民征地补偿不到位引发纠纷。</w:t>
      </w:r>
    </w:p>
    <w:p w14:paraId="0F256243">
      <w:pPr>
        <w:rPr>
          <w:rFonts w:hint="default" w:ascii="Times New Roman" w:hAnsi="Times New Roman" w:eastAsia="仿宋" w:cs="Times New Roman"/>
          <w:sz w:val="28"/>
          <w:szCs w:val="32"/>
          <w:lang w:eastAsia="zh-CN" w:bidi="ar-SA"/>
        </w:rPr>
      </w:pPr>
      <w:r>
        <w:rPr>
          <w:rFonts w:hint="default" w:ascii="Times New Roman" w:hAnsi="Times New Roman" w:eastAsia="仿宋" w:cs="Times New Roman"/>
          <w:sz w:val="28"/>
          <w:szCs w:val="32"/>
          <w:lang w:eastAsia="zh-CN" w:bidi="ar-SA"/>
        </w:rPr>
        <w:br w:type="page"/>
      </w:r>
    </w:p>
    <w:p w14:paraId="3A464428">
      <w:pPr>
        <w:pStyle w:val="2"/>
        <w:numPr>
          <w:ilvl w:val="0"/>
          <w:numId w:val="0"/>
        </w:numPr>
        <w:bidi w:val="0"/>
        <w:ind w:left="432" w:leftChars="0" w:hanging="432" w:firstLineChars="0"/>
        <w:jc w:val="both"/>
        <w:rPr>
          <w:rFonts w:hint="default"/>
          <w:sz w:val="40"/>
          <w:szCs w:val="40"/>
        </w:rPr>
      </w:pPr>
      <w:bookmarkStart w:id="30" w:name="_Toc32266"/>
      <w:r>
        <w:rPr>
          <w:rFonts w:hint="default" w:ascii="Times New Roman" w:hAnsi="Times New Roman" w:eastAsia="仿宋" w:cs="Times New Roman"/>
          <w:b/>
          <w:bCs/>
          <w:kern w:val="44"/>
          <w:sz w:val="40"/>
          <w:szCs w:val="40"/>
          <w:lang w:val="en-US" w:eastAsia="zh-CN"/>
        </w:rPr>
        <w:t>4.</w:t>
      </w:r>
      <w:r>
        <w:rPr>
          <w:rFonts w:hint="default"/>
          <w:sz w:val="40"/>
          <w:szCs w:val="40"/>
        </w:rPr>
        <w:t>主要用途和实现的功能</w:t>
      </w:r>
      <w:bookmarkEnd w:id="30"/>
    </w:p>
    <w:p w14:paraId="403AD9E8">
      <w:pPr>
        <w:pStyle w:val="3"/>
        <w:numPr>
          <w:ilvl w:val="1"/>
          <w:numId w:val="0"/>
        </w:numPr>
        <w:tabs>
          <w:tab w:val="clear" w:pos="420"/>
        </w:tabs>
        <w:bidi w:val="0"/>
        <w:ind w:left="575" w:leftChars="0" w:hanging="575" w:firstLineChars="0"/>
        <w:rPr>
          <w:rFonts w:hint="default"/>
          <w:sz w:val="32"/>
          <w:szCs w:val="32"/>
        </w:rPr>
      </w:pPr>
      <w:bookmarkStart w:id="31" w:name="_Toc30011"/>
      <w:r>
        <w:rPr>
          <w:rFonts w:hint="eastAsia" w:cs="Times New Roman"/>
          <w:b/>
          <w:bCs/>
          <w:kern w:val="2"/>
          <w:sz w:val="32"/>
          <w:szCs w:val="32"/>
          <w:lang w:val="en-US" w:eastAsia="zh-CN"/>
        </w:rPr>
        <w:t>4</w:t>
      </w:r>
      <w:r>
        <w:rPr>
          <w:rFonts w:hint="eastAsia" w:ascii="Times New Roman" w:hAnsi="Times New Roman" w:eastAsia="仿宋" w:cs="Times New Roman"/>
          <w:b/>
          <w:bCs/>
          <w:kern w:val="2"/>
          <w:sz w:val="32"/>
          <w:szCs w:val="32"/>
          <w:lang w:val="en-US" w:eastAsia="zh-CN"/>
        </w:rPr>
        <w:t>.</w:t>
      </w:r>
      <w:r>
        <w:rPr>
          <w:rFonts w:hint="eastAsia" w:cs="Times New Roman"/>
          <w:b/>
          <w:bCs/>
          <w:kern w:val="2"/>
          <w:sz w:val="32"/>
          <w:szCs w:val="32"/>
          <w:lang w:val="en-US" w:eastAsia="zh-CN"/>
        </w:rPr>
        <w:t>1</w:t>
      </w:r>
      <w:r>
        <w:rPr>
          <w:rFonts w:hint="eastAsia" w:ascii="Times New Roman" w:hAnsi="Times New Roman" w:eastAsia="仿宋" w:cs="Times New Roman"/>
          <w:b/>
          <w:bCs/>
          <w:kern w:val="2"/>
          <w:sz w:val="32"/>
          <w:szCs w:val="32"/>
          <w:lang w:val="en-US" w:eastAsia="zh-CN"/>
        </w:rPr>
        <w:t>.</w:t>
      </w:r>
      <w:r>
        <w:rPr>
          <w:rFonts w:hint="default"/>
          <w:sz w:val="32"/>
          <w:szCs w:val="32"/>
        </w:rPr>
        <w:t>主要用途</w:t>
      </w:r>
      <w:r>
        <w:rPr>
          <w:rFonts w:hint="eastAsia"/>
          <w:sz w:val="32"/>
          <w:szCs w:val="32"/>
          <w:lang w:val="en-US" w:eastAsia="zh-CN"/>
        </w:rPr>
        <w:t>和</w:t>
      </w:r>
      <w:r>
        <w:rPr>
          <w:rFonts w:hint="default" w:ascii="Times New Roman" w:hAnsi="Times New Roman"/>
          <w:sz w:val="32"/>
          <w:szCs w:val="32"/>
          <w:lang w:val="en-US" w:eastAsia="zh-CN"/>
        </w:rPr>
        <w:t>实现的功能</w:t>
      </w:r>
      <w:bookmarkEnd w:id="31"/>
    </w:p>
    <w:p w14:paraId="293516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sz w:val="28"/>
          <w:szCs w:val="32"/>
          <w:highlight w:val="none"/>
          <w:lang w:val="en-US" w:eastAsia="zh-CN" w:bidi="ar-SA"/>
        </w:rPr>
        <w:t>方案内拟安排的项目</w:t>
      </w:r>
      <w:r>
        <w:rPr>
          <w:rFonts w:hint="default" w:ascii="Times New Roman" w:hAnsi="Times New Roman" w:eastAsia="仿宋" w:cs="Times New Roman"/>
          <w:sz w:val="28"/>
          <w:szCs w:val="32"/>
          <w:highlight w:val="none"/>
          <w:lang w:eastAsia="zh-CN" w:bidi="ar-SA"/>
        </w:rPr>
        <w:t>主要用途为</w:t>
      </w:r>
      <w:r>
        <w:rPr>
          <w:rFonts w:hint="eastAsia" w:ascii="Times New Roman" w:hAnsi="Times New Roman" w:eastAsia="仿宋" w:cs="Times New Roman"/>
          <w:sz w:val="28"/>
          <w:szCs w:val="32"/>
          <w:highlight w:val="none"/>
          <w:lang w:val="en-US" w:eastAsia="zh-CN" w:bidi="ar-SA"/>
        </w:rPr>
        <w:t>居住用地</w:t>
      </w:r>
      <w:r>
        <w:rPr>
          <w:rFonts w:hint="eastAsia" w:ascii="Times New Roman" w:hAnsi="Times New Roman" w:eastAsia="仿宋" w:cs="Times New Roman"/>
          <w:sz w:val="28"/>
          <w:szCs w:val="32"/>
          <w:highlight w:val="none"/>
          <w:lang w:eastAsia="zh-CN" w:bidi="ar-SA"/>
        </w:rPr>
        <w:t>、</w:t>
      </w:r>
      <w:r>
        <w:rPr>
          <w:rFonts w:hint="default" w:ascii="Times New Roman" w:hAnsi="Times New Roman" w:eastAsia="仿宋" w:cs="Times New Roman"/>
          <w:sz w:val="28"/>
          <w:szCs w:val="32"/>
          <w:highlight w:val="none"/>
          <w:lang w:eastAsia="zh-CN" w:bidi="ar-SA"/>
        </w:rPr>
        <w:t>商业服务业用地、</w:t>
      </w:r>
      <w:r>
        <w:rPr>
          <w:rFonts w:hint="eastAsia" w:ascii="Times New Roman" w:hAnsi="Times New Roman" w:eastAsia="仿宋" w:cs="Times New Roman"/>
          <w:sz w:val="28"/>
          <w:szCs w:val="32"/>
          <w:highlight w:val="none"/>
          <w:lang w:val="en-US" w:eastAsia="zh-CN" w:bidi="ar-SA"/>
        </w:rPr>
        <w:t>仓储用地、</w:t>
      </w:r>
      <w:r>
        <w:rPr>
          <w:rFonts w:hint="default" w:ascii="Times New Roman" w:hAnsi="Times New Roman" w:eastAsia="仿宋" w:cs="Times New Roman"/>
          <w:sz w:val="28"/>
          <w:szCs w:val="32"/>
          <w:highlight w:val="none"/>
          <w:lang w:eastAsia="zh-CN" w:bidi="ar-SA"/>
        </w:rPr>
        <w:t>工矿用地、交通运输用地</w:t>
      </w:r>
      <w:r>
        <w:rPr>
          <w:rFonts w:hint="eastAsia"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公用设施用地</w:t>
      </w:r>
      <w:r>
        <w:rPr>
          <w:rFonts w:hint="default"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拟安排的项目共9个，</w:t>
      </w:r>
      <w:r>
        <w:rPr>
          <w:rFonts w:hint="default" w:ascii="Times New Roman" w:hAnsi="Times New Roman" w:eastAsia="仿宋" w:cs="Times New Roman"/>
          <w:sz w:val="28"/>
          <w:szCs w:val="32"/>
          <w:highlight w:val="none"/>
          <w:lang w:eastAsia="zh-CN" w:bidi="ar-SA"/>
        </w:rPr>
        <w:t>面积总计</w:t>
      </w:r>
      <w:r>
        <w:rPr>
          <w:rFonts w:hint="eastAsia" w:ascii="Times New Roman" w:hAnsi="Times New Roman" w:eastAsia="仿宋" w:cs="Times New Roman"/>
          <w:sz w:val="28"/>
          <w:szCs w:val="32"/>
          <w:highlight w:val="none"/>
          <w:lang w:val="en-US" w:eastAsia="zh-CN" w:bidi="ar-SA"/>
        </w:rPr>
        <w:t>45.9447</w:t>
      </w:r>
      <w:r>
        <w:rPr>
          <w:rFonts w:hint="default" w:ascii="Times New Roman" w:hAnsi="Times New Roman" w:eastAsia="仿宋" w:cs="Times New Roman"/>
          <w:sz w:val="28"/>
          <w:szCs w:val="32"/>
          <w:highlight w:val="none"/>
          <w:lang w:eastAsia="zh-CN" w:bidi="ar-SA"/>
        </w:rPr>
        <w:t>公顷</w:t>
      </w:r>
      <w:r>
        <w:rPr>
          <w:rFonts w:hint="eastAsia" w:ascii="Times New Roman" w:hAnsi="Times New Roman" w:eastAsia="仿宋" w:cs="Times New Roman"/>
          <w:sz w:val="28"/>
          <w:szCs w:val="32"/>
          <w:highlight w:val="none"/>
          <w:lang w:eastAsia="zh-CN" w:bidi="ar-SA"/>
        </w:rPr>
        <w:t>。</w:t>
      </w:r>
      <w:r>
        <w:rPr>
          <w:rFonts w:hint="eastAsia" w:ascii="Times New Roman" w:hAnsi="Times New Roman" w:eastAsia="仿宋" w:cs="Times New Roman"/>
          <w:sz w:val="28"/>
          <w:szCs w:val="32"/>
          <w:highlight w:val="none"/>
          <w:lang w:val="en-US" w:eastAsia="zh-CN" w:bidi="ar-SA"/>
        </w:rPr>
        <w:t>见表4-1。</w:t>
      </w:r>
    </w:p>
    <w:p w14:paraId="12E036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表4-1 土地用途与实现功能情况统计表</w:t>
      </w:r>
    </w:p>
    <w:p w14:paraId="68D56BDA">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Times New Roman" w:hAnsi="Times New Roman" w:eastAsia="仿宋" w:cs="Times New Roman"/>
          <w:sz w:val="24"/>
          <w:szCs w:val="24"/>
          <w:highlight w:val="none"/>
          <w:lang w:val="en-US" w:eastAsia="zh-CN" w:bidi="ar-SA"/>
        </w:rPr>
      </w:pPr>
      <w:r>
        <w:rPr>
          <w:rFonts w:hint="eastAsia" w:ascii="Times New Roman" w:hAnsi="Times New Roman" w:eastAsia="仿宋" w:cs="Times New Roman"/>
          <w:sz w:val="24"/>
          <w:szCs w:val="24"/>
          <w:highlight w:val="none"/>
          <w:lang w:val="en-US" w:eastAsia="zh-CN" w:bidi="ar-SA"/>
        </w:rPr>
        <w:t>单位：公顷</w:t>
      </w:r>
    </w:p>
    <w:tbl>
      <w:tblPr>
        <w:tblStyle w:val="1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1509"/>
        <w:gridCol w:w="932"/>
        <w:gridCol w:w="3081"/>
        <w:gridCol w:w="1469"/>
        <w:gridCol w:w="933"/>
      </w:tblGrid>
      <w:tr w14:paraId="46FC3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bottom w:val="single" w:color="000000" w:sz="8" w:space="0"/>
              <w:right w:val="single" w:color="000000" w:sz="8" w:space="0"/>
            </w:tcBorders>
            <w:shd w:val="clear" w:color="auto" w:fill="auto"/>
            <w:noWrap/>
            <w:vAlign w:val="center"/>
          </w:tcPr>
          <w:p w14:paraId="3B1A923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片区编号</w:t>
            </w:r>
          </w:p>
        </w:tc>
        <w:tc>
          <w:tcPr>
            <w:tcW w:w="851" w:type="pct"/>
            <w:tcBorders>
              <w:left w:val="single" w:color="000000" w:sz="8" w:space="0"/>
              <w:bottom w:val="single" w:color="000000" w:sz="8" w:space="0"/>
              <w:right w:val="single" w:color="000000" w:sz="8" w:space="0"/>
            </w:tcBorders>
            <w:shd w:val="clear" w:color="auto" w:fill="auto"/>
            <w:noWrap/>
            <w:vAlign w:val="center"/>
          </w:tcPr>
          <w:p w14:paraId="75AF30F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526" w:type="pct"/>
            <w:tcBorders>
              <w:left w:val="single" w:color="000000" w:sz="8" w:space="0"/>
              <w:bottom w:val="single" w:color="000000" w:sz="8" w:space="0"/>
              <w:right w:val="single" w:color="000000" w:sz="8" w:space="0"/>
            </w:tcBorders>
            <w:shd w:val="clear" w:color="auto" w:fill="auto"/>
            <w:noWrap/>
            <w:vAlign w:val="center"/>
          </w:tcPr>
          <w:p w14:paraId="0957807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项目编号</w:t>
            </w:r>
          </w:p>
        </w:tc>
        <w:tc>
          <w:tcPr>
            <w:tcW w:w="1739" w:type="pct"/>
            <w:tcBorders>
              <w:left w:val="single" w:color="000000" w:sz="8" w:space="0"/>
              <w:bottom w:val="single" w:color="000000" w:sz="8" w:space="0"/>
              <w:right w:val="single" w:color="000000" w:sz="8" w:space="0"/>
            </w:tcBorders>
            <w:shd w:val="clear" w:color="auto" w:fill="auto"/>
            <w:noWrap/>
            <w:vAlign w:val="center"/>
          </w:tcPr>
          <w:p w14:paraId="6AF49FD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建设项目</w:t>
            </w:r>
          </w:p>
        </w:tc>
        <w:tc>
          <w:tcPr>
            <w:tcW w:w="829" w:type="pct"/>
            <w:tcBorders>
              <w:left w:val="single" w:color="000000" w:sz="8" w:space="0"/>
              <w:bottom w:val="single" w:color="000000" w:sz="8" w:space="0"/>
              <w:right w:val="single" w:color="000000" w:sz="8" w:space="0"/>
            </w:tcBorders>
            <w:shd w:val="clear" w:color="auto" w:fill="auto"/>
            <w:noWrap/>
            <w:vAlign w:val="center"/>
          </w:tcPr>
          <w:p w14:paraId="526FE0E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土地用途</w:t>
            </w:r>
          </w:p>
        </w:tc>
        <w:tc>
          <w:tcPr>
            <w:tcW w:w="526" w:type="pct"/>
            <w:tcBorders>
              <w:left w:val="single" w:color="000000" w:sz="8" w:space="0"/>
              <w:bottom w:val="single" w:color="000000" w:sz="8" w:space="0"/>
            </w:tcBorders>
            <w:shd w:val="clear" w:color="auto" w:fill="auto"/>
            <w:noWrap/>
            <w:vAlign w:val="center"/>
          </w:tcPr>
          <w:p w14:paraId="0FAD6A0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项目面积</w:t>
            </w:r>
          </w:p>
        </w:tc>
      </w:tr>
      <w:tr w14:paraId="5D3B3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1CB26FB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51" w:type="pct"/>
            <w:tcBorders>
              <w:top w:val="nil"/>
              <w:left w:val="nil"/>
              <w:bottom w:val="single" w:color="000000" w:sz="8" w:space="0"/>
              <w:right w:val="single" w:color="000000" w:sz="8" w:space="0"/>
            </w:tcBorders>
            <w:shd w:val="clear" w:color="auto" w:fill="auto"/>
            <w:noWrap/>
            <w:vAlign w:val="bottom"/>
          </w:tcPr>
          <w:p w14:paraId="2BB7D04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228387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6E2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众禾周边地块统征出让</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989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4F0757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4.2527 </w:t>
            </w:r>
          </w:p>
        </w:tc>
      </w:tr>
      <w:tr w14:paraId="20A36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26" w:type="pct"/>
            <w:vMerge w:val="restart"/>
            <w:tcBorders>
              <w:top w:val="nil"/>
              <w:right w:val="single" w:color="000000" w:sz="8" w:space="0"/>
            </w:tcBorders>
            <w:shd w:val="clear" w:color="auto" w:fill="auto"/>
            <w:noWrap/>
            <w:vAlign w:val="center"/>
          </w:tcPr>
          <w:p w14:paraId="7C17B31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51" w:type="pct"/>
            <w:vMerge w:val="restart"/>
            <w:tcBorders>
              <w:top w:val="nil"/>
              <w:left w:val="nil"/>
              <w:right w:val="single" w:color="000000" w:sz="8" w:space="0"/>
            </w:tcBorders>
            <w:shd w:val="clear" w:color="auto" w:fill="auto"/>
            <w:noWrap/>
            <w:vAlign w:val="center"/>
          </w:tcPr>
          <w:p w14:paraId="1B00F86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0E9B42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E9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w:t>
            </w:r>
            <w:r>
              <w:rPr>
                <w:rFonts w:hint="default" w:ascii="Times New Roman" w:hAnsi="Times New Roman" w:eastAsia="仿宋" w:cs="Times New Roman"/>
                <w:i w:val="0"/>
                <w:iCs w:val="0"/>
                <w:color w:val="000000"/>
                <w:kern w:val="0"/>
                <w:sz w:val="21"/>
                <w:szCs w:val="21"/>
                <w:u w:val="none"/>
                <w:lang w:val="en-US" w:eastAsia="zh-CN" w:bidi="ar"/>
              </w:rPr>
              <w:t>A</w:t>
            </w:r>
            <w:r>
              <w:rPr>
                <w:rFonts w:hint="eastAsia" w:ascii="Times New Roman" w:hAnsi="Times New Roman" w:eastAsia="仿宋" w:cs="Times New Roman"/>
                <w:i w:val="0"/>
                <w:iCs w:val="0"/>
                <w:color w:val="000000"/>
                <w:kern w:val="0"/>
                <w:sz w:val="21"/>
                <w:szCs w:val="21"/>
                <w:u w:val="none"/>
                <w:lang w:val="en-US" w:eastAsia="zh-CN" w:bidi="ar"/>
              </w:rPr>
              <w:t>征地（泫氏铸管）统征出让</w:t>
            </w:r>
            <w:r>
              <w:rPr>
                <w:rFonts w:hint="default" w:ascii="Times New Roman" w:hAnsi="Times New Roman" w:eastAsia="仿宋" w:cs="Times New Roman"/>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CFB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4DBB41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11.1986 </w:t>
            </w:r>
          </w:p>
        </w:tc>
      </w:tr>
      <w:tr w14:paraId="78F6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vMerge w:val="continue"/>
            <w:tcBorders>
              <w:bottom w:val="single" w:color="000000" w:sz="8" w:space="0"/>
              <w:right w:val="single" w:color="000000" w:sz="8" w:space="0"/>
            </w:tcBorders>
            <w:shd w:val="clear" w:color="auto" w:fill="auto"/>
            <w:noWrap/>
            <w:vAlign w:val="bottom"/>
          </w:tcPr>
          <w:p w14:paraId="042310B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851" w:type="pct"/>
            <w:vMerge w:val="continue"/>
            <w:tcBorders>
              <w:left w:val="nil"/>
              <w:bottom w:val="single" w:color="000000" w:sz="8" w:space="0"/>
              <w:right w:val="single" w:color="000000" w:sz="8" w:space="0"/>
            </w:tcBorders>
            <w:shd w:val="clear" w:color="auto" w:fill="auto"/>
            <w:noWrap/>
            <w:vAlign w:val="bottom"/>
          </w:tcPr>
          <w:p w14:paraId="0F4FB06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1A39F9A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192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w:t>
            </w:r>
            <w:r>
              <w:rPr>
                <w:rFonts w:hint="default" w:ascii="Times New Roman" w:hAnsi="Times New Roman" w:eastAsia="仿宋" w:cs="Times New Roman"/>
                <w:i w:val="0"/>
                <w:iCs w:val="0"/>
                <w:color w:val="000000"/>
                <w:kern w:val="0"/>
                <w:sz w:val="21"/>
                <w:szCs w:val="21"/>
                <w:u w:val="none"/>
                <w:lang w:val="en-US" w:eastAsia="zh-CN" w:bidi="ar"/>
              </w:rPr>
              <w:t>A</w:t>
            </w:r>
            <w:r>
              <w:rPr>
                <w:rFonts w:hint="eastAsia" w:ascii="Times New Roman" w:hAnsi="Times New Roman" w:eastAsia="仿宋" w:cs="Times New Roman"/>
                <w:i w:val="0"/>
                <w:iCs w:val="0"/>
                <w:color w:val="000000"/>
                <w:kern w:val="0"/>
                <w:sz w:val="21"/>
                <w:szCs w:val="21"/>
                <w:u w:val="none"/>
                <w:lang w:val="en-US" w:eastAsia="zh-CN" w:bidi="ar"/>
              </w:rPr>
              <w:t>征地（泫氏铸管）统征出让</w:t>
            </w:r>
            <w:r>
              <w:rPr>
                <w:rFonts w:hint="default" w:ascii="Times New Roman" w:hAnsi="Times New Roman" w:eastAsia="仿宋" w:cs="Times New Roman"/>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D43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09074A1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22.8887 </w:t>
            </w:r>
          </w:p>
        </w:tc>
      </w:tr>
      <w:tr w14:paraId="59670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bottom"/>
          </w:tcPr>
          <w:p w14:paraId="54D634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w:t>
            </w:r>
          </w:p>
        </w:tc>
        <w:tc>
          <w:tcPr>
            <w:tcW w:w="851" w:type="pct"/>
            <w:tcBorders>
              <w:top w:val="nil"/>
              <w:left w:val="nil"/>
              <w:bottom w:val="single" w:color="000000" w:sz="8" w:space="0"/>
              <w:right w:val="single" w:color="000000" w:sz="8" w:space="0"/>
            </w:tcBorders>
            <w:shd w:val="clear" w:color="auto" w:fill="auto"/>
            <w:noWrap/>
            <w:vAlign w:val="bottom"/>
          </w:tcPr>
          <w:p w14:paraId="08E2BF0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355D22D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675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兴园东路</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9E9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4C0349D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2.0440 </w:t>
            </w:r>
          </w:p>
        </w:tc>
      </w:tr>
      <w:tr w14:paraId="4A04E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bottom"/>
          </w:tcPr>
          <w:p w14:paraId="02D0A26E">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4</w:t>
            </w:r>
          </w:p>
        </w:tc>
        <w:tc>
          <w:tcPr>
            <w:tcW w:w="851" w:type="pct"/>
            <w:tcBorders>
              <w:top w:val="nil"/>
              <w:left w:val="nil"/>
              <w:bottom w:val="single" w:color="000000" w:sz="8" w:space="0"/>
              <w:right w:val="single" w:color="000000" w:sz="8" w:space="0"/>
            </w:tcBorders>
            <w:shd w:val="clear" w:color="auto" w:fill="auto"/>
            <w:noWrap/>
            <w:vAlign w:val="bottom"/>
          </w:tcPr>
          <w:p w14:paraId="6F6717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0A05D57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D30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凯永饲料西侧（高铁新区统征商住）</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12A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3CF3151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0.3405 </w:t>
            </w:r>
          </w:p>
        </w:tc>
      </w:tr>
      <w:tr w14:paraId="67EA4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67D6189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51" w:type="pct"/>
            <w:tcBorders>
              <w:top w:val="nil"/>
              <w:left w:val="nil"/>
              <w:bottom w:val="single" w:color="000000" w:sz="8" w:space="0"/>
              <w:right w:val="single" w:color="000000" w:sz="8" w:space="0"/>
            </w:tcBorders>
            <w:shd w:val="clear" w:color="auto" w:fill="auto"/>
            <w:noWrap/>
            <w:vAlign w:val="bottom"/>
          </w:tcPr>
          <w:p w14:paraId="6F83DF9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630F45A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B1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喜镇苏庄</w:t>
            </w:r>
            <w:r>
              <w:rPr>
                <w:rFonts w:hint="default" w:ascii="Times New Roman" w:hAnsi="Times New Roman" w:eastAsia="仿宋" w:cs="Times New Roman"/>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267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0BEB92C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2.6647 </w:t>
            </w:r>
          </w:p>
        </w:tc>
      </w:tr>
      <w:tr w14:paraId="235F3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6537838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51" w:type="pct"/>
            <w:tcBorders>
              <w:top w:val="nil"/>
              <w:left w:val="nil"/>
              <w:bottom w:val="single" w:color="000000" w:sz="8" w:space="0"/>
              <w:right w:val="single" w:color="000000" w:sz="8" w:space="0"/>
            </w:tcBorders>
            <w:shd w:val="clear" w:color="auto" w:fill="auto"/>
            <w:noWrap/>
            <w:vAlign w:val="bottom"/>
          </w:tcPr>
          <w:p w14:paraId="32262F2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60D9426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D3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喜镇苏庄</w:t>
            </w:r>
            <w:r>
              <w:rPr>
                <w:rFonts w:hint="default" w:ascii="Times New Roman" w:hAnsi="Times New Roman" w:eastAsia="仿宋" w:cs="Times New Roman"/>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0B6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5D5248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0.1527 </w:t>
            </w:r>
          </w:p>
        </w:tc>
      </w:tr>
      <w:tr w14:paraId="0E4EF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4573117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851" w:type="pct"/>
            <w:tcBorders>
              <w:top w:val="nil"/>
              <w:left w:val="nil"/>
              <w:bottom w:val="single" w:color="000000" w:sz="8" w:space="0"/>
              <w:right w:val="single" w:color="000000" w:sz="8" w:space="0"/>
            </w:tcBorders>
            <w:shd w:val="clear" w:color="auto" w:fill="auto"/>
            <w:noWrap/>
            <w:vAlign w:val="bottom"/>
          </w:tcPr>
          <w:p w14:paraId="327533B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2EAEED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143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太行润源北侧</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A7C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仓储物流用地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598EDCC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2.1951 </w:t>
            </w:r>
          </w:p>
        </w:tc>
      </w:tr>
      <w:tr w14:paraId="6F83A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nil"/>
              <w:bottom w:val="single" w:color="000000" w:sz="8" w:space="0"/>
              <w:right w:val="single" w:color="000000" w:sz="8" w:space="0"/>
            </w:tcBorders>
            <w:shd w:val="clear" w:color="auto" w:fill="auto"/>
            <w:noWrap/>
            <w:vAlign w:val="center"/>
          </w:tcPr>
          <w:p w14:paraId="5082A8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851" w:type="pct"/>
            <w:tcBorders>
              <w:top w:val="nil"/>
              <w:left w:val="nil"/>
              <w:bottom w:val="single" w:color="000000" w:sz="8" w:space="0"/>
              <w:right w:val="single" w:color="000000" w:sz="8" w:space="0"/>
            </w:tcBorders>
            <w:shd w:val="clear" w:color="auto" w:fill="auto"/>
            <w:noWrap/>
            <w:vAlign w:val="bottom"/>
          </w:tcPr>
          <w:p w14:paraId="509220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526" w:type="pct"/>
            <w:tcBorders>
              <w:top w:val="nil"/>
              <w:left w:val="single" w:color="000000" w:sz="8" w:space="0"/>
              <w:bottom w:val="single" w:color="000000" w:sz="8" w:space="0"/>
              <w:right w:val="single" w:color="000000" w:sz="8" w:space="0"/>
            </w:tcBorders>
            <w:shd w:val="clear" w:color="auto" w:fill="auto"/>
            <w:noWrap/>
            <w:vAlign w:val="center"/>
          </w:tcPr>
          <w:p w14:paraId="0EB9BF1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90C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建宁乡统征出让加油站项目</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D23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商业服务业用地</w:t>
            </w:r>
          </w:p>
        </w:tc>
        <w:tc>
          <w:tcPr>
            <w:tcW w:w="526" w:type="pct"/>
            <w:tcBorders>
              <w:top w:val="single" w:color="000000" w:sz="4" w:space="0"/>
              <w:left w:val="single" w:color="000000" w:sz="4" w:space="0"/>
              <w:bottom w:val="single" w:color="000000" w:sz="4" w:space="0"/>
            </w:tcBorders>
            <w:shd w:val="clear" w:color="auto" w:fill="auto"/>
            <w:noWrap/>
            <w:vAlign w:val="center"/>
          </w:tcPr>
          <w:p w14:paraId="545502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0.2077 </w:t>
            </w:r>
          </w:p>
        </w:tc>
      </w:tr>
      <w:tr w14:paraId="2BD6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73" w:type="pct"/>
            <w:gridSpan w:val="5"/>
            <w:tcBorders>
              <w:top w:val="nil"/>
              <w:right w:val="single" w:color="000000" w:sz="8" w:space="0"/>
            </w:tcBorders>
            <w:shd w:val="clear" w:color="auto" w:fill="auto"/>
            <w:noWrap/>
            <w:vAlign w:val="center"/>
          </w:tcPr>
          <w:p w14:paraId="4C5E311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526" w:type="pct"/>
            <w:tcBorders>
              <w:top w:val="nil"/>
              <w:left w:val="single" w:color="000000" w:sz="8" w:space="0"/>
            </w:tcBorders>
            <w:shd w:val="clear" w:color="auto" w:fill="auto"/>
            <w:noWrap/>
            <w:vAlign w:val="center"/>
          </w:tcPr>
          <w:p w14:paraId="648B07E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 xml:space="preserve">45.9447 </w:t>
            </w:r>
          </w:p>
        </w:tc>
      </w:tr>
    </w:tbl>
    <w:p w14:paraId="650B2CF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eastAsia" w:ascii="Times New Roman" w:hAnsi="Times New Roman" w:eastAsia="仿宋" w:cs="Times New Roman"/>
          <w:sz w:val="24"/>
          <w:szCs w:val="24"/>
          <w:highlight w:val="none"/>
          <w:lang w:val="en-US" w:eastAsia="zh-CN" w:bidi="ar-SA"/>
        </w:rPr>
      </w:pPr>
    </w:p>
    <w:p w14:paraId="1EB94982">
      <w:pPr>
        <w:pStyle w:val="3"/>
        <w:numPr>
          <w:ilvl w:val="1"/>
          <w:numId w:val="0"/>
        </w:numPr>
        <w:tabs>
          <w:tab w:val="clear" w:pos="420"/>
        </w:tabs>
        <w:bidi w:val="0"/>
        <w:rPr>
          <w:rFonts w:hint="default"/>
          <w:sz w:val="32"/>
          <w:szCs w:val="32"/>
          <w:highlight w:val="none"/>
          <w:lang w:val="en-US" w:eastAsia="zh-CN"/>
        </w:rPr>
      </w:pPr>
      <w:bookmarkStart w:id="32" w:name="_Toc16715"/>
      <w:r>
        <w:rPr>
          <w:rFonts w:hint="eastAsia" w:ascii="Times New Roman" w:hAnsi="Times New Roman" w:eastAsia="仿宋" w:cs="Times New Roman"/>
          <w:b/>
          <w:bCs/>
          <w:kern w:val="2"/>
          <w:sz w:val="32"/>
          <w:szCs w:val="32"/>
          <w:highlight w:val="none"/>
          <w:lang w:val="en-US" w:eastAsia="zh-CN"/>
        </w:rPr>
        <w:t>4.2.</w:t>
      </w:r>
      <w:r>
        <w:rPr>
          <w:rFonts w:hint="eastAsia"/>
          <w:sz w:val="32"/>
          <w:szCs w:val="32"/>
          <w:highlight w:val="none"/>
          <w:lang w:val="en-US" w:eastAsia="zh-CN"/>
        </w:rPr>
        <w:t>各片区</w:t>
      </w:r>
      <w:r>
        <w:rPr>
          <w:rFonts w:hint="default"/>
          <w:sz w:val="32"/>
          <w:szCs w:val="32"/>
          <w:highlight w:val="none"/>
        </w:rPr>
        <w:t>主要用途</w:t>
      </w:r>
      <w:r>
        <w:rPr>
          <w:rFonts w:hint="eastAsia" w:ascii="Times New Roman" w:eastAsia="宋体"/>
          <w:sz w:val="32"/>
          <w:szCs w:val="32"/>
          <w:highlight w:val="none"/>
          <w:lang w:val="en-US" w:eastAsia="zh-CN"/>
        </w:rPr>
        <w:t>和</w:t>
      </w:r>
      <w:r>
        <w:rPr>
          <w:rFonts w:hint="default" w:ascii="Times New Roman" w:hAnsi="Times New Roman"/>
          <w:sz w:val="32"/>
          <w:szCs w:val="32"/>
          <w:highlight w:val="none"/>
          <w:lang w:val="en-US" w:eastAsia="zh-CN"/>
        </w:rPr>
        <w:t>实现的功能</w:t>
      </w:r>
      <w:bookmarkEnd w:id="32"/>
    </w:p>
    <w:p w14:paraId="04A1EA2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28"/>
          <w:highlight w:val="none"/>
          <w:lang w:bidi="ar-SA"/>
        </w:rPr>
      </w:pPr>
      <w:r>
        <w:rPr>
          <w:rFonts w:hint="eastAsia" w:ascii="Times New Roman" w:hAnsi="Times New Roman" w:eastAsia="仿宋" w:cs="Times New Roman"/>
          <w:b/>
          <w:bCs/>
          <w:sz w:val="28"/>
          <w:szCs w:val="32"/>
          <w:highlight w:val="none"/>
          <w:lang w:val="en-US" w:eastAsia="zh-CN" w:bidi="ar-SA"/>
        </w:rPr>
        <w:t>三甲南片区</w:t>
      </w:r>
      <w:r>
        <w:rPr>
          <w:rFonts w:hint="eastAsia" w:ascii="Times New Roman" w:hAnsi="Times New Roman" w:eastAsia="仿宋" w:cs="Times New Roman"/>
          <w:sz w:val="28"/>
          <w:szCs w:val="32"/>
          <w:highlight w:val="none"/>
          <w:lang w:val="en-US" w:eastAsia="zh-CN" w:bidi="ar-SA"/>
        </w:rPr>
        <w:t>：</w:t>
      </w:r>
      <w:r>
        <w:rPr>
          <w:rFonts w:hint="default" w:ascii="Times New Roman" w:hAnsi="Times New Roman" w:eastAsia="仿宋" w:cs="Times New Roman"/>
          <w:color w:val="auto"/>
          <w:sz w:val="28"/>
          <w:szCs w:val="28"/>
          <w:highlight w:val="none"/>
          <w:lang w:eastAsia="zh-CN" w:bidi="ar-SA"/>
        </w:rPr>
        <w:t>以</w:t>
      </w:r>
      <w:r>
        <w:rPr>
          <w:rFonts w:hint="default" w:ascii="Times New Roman" w:hAnsi="Times New Roman" w:eastAsia="仿宋" w:cs="Times New Roman"/>
          <w:color w:val="auto"/>
          <w:sz w:val="28"/>
          <w:szCs w:val="32"/>
          <w:highlight w:val="none"/>
          <w:lang w:bidi="ar-SA"/>
        </w:rPr>
        <w:t>工</w:t>
      </w:r>
      <w:r>
        <w:rPr>
          <w:rFonts w:hint="eastAsia" w:ascii="Times New Roman" w:hAnsi="Times New Roman" w:eastAsia="仿宋" w:cs="Times New Roman"/>
          <w:color w:val="auto"/>
          <w:sz w:val="28"/>
          <w:szCs w:val="32"/>
          <w:highlight w:val="none"/>
          <w:lang w:val="en-US" w:eastAsia="zh-CN" w:bidi="ar-SA"/>
        </w:rPr>
        <w:t>业</w:t>
      </w:r>
      <w:r>
        <w:rPr>
          <w:rFonts w:hint="default" w:ascii="Times New Roman" w:hAnsi="Times New Roman" w:eastAsia="仿宋" w:cs="Times New Roman"/>
          <w:color w:val="auto"/>
          <w:sz w:val="28"/>
          <w:szCs w:val="32"/>
          <w:highlight w:val="none"/>
          <w:lang w:bidi="ar-SA"/>
        </w:rPr>
        <w:t>用地</w:t>
      </w:r>
      <w:r>
        <w:rPr>
          <w:rFonts w:hint="default" w:ascii="Times New Roman" w:hAnsi="Times New Roman" w:eastAsia="仿宋" w:cs="Times New Roman"/>
          <w:color w:val="auto"/>
          <w:sz w:val="28"/>
          <w:szCs w:val="28"/>
          <w:highlight w:val="none"/>
          <w:lang w:eastAsia="zh-CN" w:bidi="ar-SA"/>
        </w:rPr>
        <w:t>为主，</w:t>
      </w:r>
      <w:r>
        <w:rPr>
          <w:rFonts w:hint="eastAsia" w:ascii="Times New Roman" w:hAnsi="Times New Roman" w:eastAsia="仿宋" w:cs="Times New Roman"/>
          <w:color w:val="auto"/>
          <w:sz w:val="28"/>
          <w:szCs w:val="28"/>
          <w:highlight w:val="none"/>
          <w:lang w:val="en-US" w:eastAsia="zh-CN" w:bidi="ar-SA"/>
        </w:rPr>
        <w:t>依托三甲工业园现有产业</w:t>
      </w:r>
      <w:r>
        <w:rPr>
          <w:rFonts w:hint="default" w:ascii="Times New Roman" w:hAnsi="Times New Roman" w:eastAsia="仿宋" w:cs="Times New Roman"/>
          <w:color w:val="auto"/>
          <w:sz w:val="28"/>
          <w:szCs w:val="28"/>
          <w:highlight w:val="none"/>
          <w:lang w:eastAsia="zh-CN" w:bidi="ar-SA"/>
        </w:rPr>
        <w:t>，重点推进</w:t>
      </w:r>
      <w:r>
        <w:rPr>
          <w:rFonts w:hint="eastAsia" w:ascii="Times New Roman" w:hAnsi="Times New Roman" w:eastAsia="仿宋" w:cs="Times New Roman"/>
          <w:color w:val="auto"/>
          <w:sz w:val="28"/>
          <w:szCs w:val="28"/>
          <w:highlight w:val="none"/>
          <w:lang w:eastAsia="zh-CN" w:bidi="ar-SA"/>
        </w:rPr>
        <w:t>装配式建筑生产、食品加工产业等</w:t>
      </w:r>
      <w:r>
        <w:rPr>
          <w:rFonts w:hint="default" w:ascii="Times New Roman" w:hAnsi="Times New Roman" w:eastAsia="仿宋" w:cs="Times New Roman"/>
          <w:color w:val="auto"/>
          <w:sz w:val="28"/>
          <w:szCs w:val="28"/>
          <w:highlight w:val="none"/>
          <w:lang w:eastAsia="zh-CN" w:bidi="ar-SA"/>
        </w:rPr>
        <w:t>，支持发展低能耗、低排放、高附加值、高科技含量的产业，倒逼产能严重过剩、工艺装备水平落后的淘汰类产业退出市场</w:t>
      </w:r>
      <w:r>
        <w:rPr>
          <w:rFonts w:hint="eastAsia" w:ascii="Times New Roman" w:hAnsi="Times New Roman" w:eastAsia="仿宋" w:cs="Times New Roman"/>
          <w:color w:val="auto"/>
          <w:sz w:val="28"/>
          <w:szCs w:val="28"/>
          <w:highlight w:val="none"/>
          <w:lang w:eastAsia="zh-CN" w:bidi="ar-SA"/>
        </w:rPr>
        <w:t>。</w:t>
      </w:r>
    </w:p>
    <w:p w14:paraId="77A56ED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米山北工业片区：</w:t>
      </w:r>
      <w:r>
        <w:rPr>
          <w:rFonts w:hint="default" w:ascii="Times New Roman" w:hAnsi="Times New Roman" w:eastAsia="仿宋" w:cs="Times New Roman"/>
          <w:color w:val="auto"/>
          <w:sz w:val="28"/>
          <w:szCs w:val="32"/>
          <w:lang w:bidi="ar-SA"/>
        </w:rPr>
        <w:t>以工</w:t>
      </w:r>
      <w:r>
        <w:rPr>
          <w:rFonts w:hint="eastAsia" w:ascii="Times New Roman" w:hAnsi="Times New Roman" w:eastAsia="仿宋" w:cs="Times New Roman"/>
          <w:color w:val="auto"/>
          <w:sz w:val="28"/>
          <w:szCs w:val="32"/>
          <w:lang w:val="en-US" w:eastAsia="zh-CN" w:bidi="ar-SA"/>
        </w:rPr>
        <w:t>业</w:t>
      </w:r>
      <w:r>
        <w:rPr>
          <w:rFonts w:hint="default" w:ascii="Times New Roman" w:hAnsi="Times New Roman" w:eastAsia="仿宋" w:cs="Times New Roman"/>
          <w:color w:val="auto"/>
          <w:sz w:val="28"/>
          <w:szCs w:val="32"/>
          <w:lang w:bidi="ar-SA"/>
        </w:rPr>
        <w:t>用地为主，</w:t>
      </w:r>
      <w:r>
        <w:rPr>
          <w:rFonts w:hint="eastAsia" w:ascii="Times New Roman" w:hAnsi="Times New Roman" w:eastAsia="仿宋" w:cs="Times New Roman"/>
          <w:color w:val="auto"/>
          <w:sz w:val="28"/>
          <w:szCs w:val="32"/>
          <w:lang w:val="en-US" w:eastAsia="zh-CN" w:bidi="ar-SA"/>
        </w:rPr>
        <w:t>顺应</w:t>
      </w:r>
      <w:r>
        <w:rPr>
          <w:rFonts w:hint="default" w:ascii="Times New Roman" w:hAnsi="Times New Roman" w:eastAsia="仿宋" w:cs="Times New Roman"/>
          <w:color w:val="auto"/>
          <w:sz w:val="28"/>
          <w:szCs w:val="32"/>
          <w:lang w:bidi="ar-SA"/>
        </w:rPr>
        <w:t>米山</w:t>
      </w:r>
      <w:r>
        <w:rPr>
          <w:rFonts w:hint="eastAsia" w:ascii="Times New Roman" w:hAnsi="Times New Roman" w:eastAsia="仿宋" w:cs="Times New Roman"/>
          <w:color w:val="auto"/>
          <w:sz w:val="28"/>
          <w:szCs w:val="32"/>
          <w:lang w:val="en-US" w:eastAsia="zh-CN" w:bidi="ar-SA"/>
        </w:rPr>
        <w:t>的</w:t>
      </w:r>
      <w:r>
        <w:rPr>
          <w:rFonts w:hint="default" w:ascii="Times New Roman" w:hAnsi="Times New Roman" w:eastAsia="仿宋" w:cs="Times New Roman"/>
          <w:color w:val="auto"/>
          <w:sz w:val="28"/>
          <w:szCs w:val="32"/>
          <w:lang w:bidi="ar-SA"/>
        </w:rPr>
        <w:t>重点</w:t>
      </w:r>
      <w:r>
        <w:rPr>
          <w:rFonts w:hint="eastAsia" w:ascii="Times New Roman" w:hAnsi="Times New Roman" w:eastAsia="仿宋" w:cs="Times New Roman"/>
          <w:color w:val="auto"/>
          <w:sz w:val="28"/>
          <w:szCs w:val="32"/>
          <w:lang w:val="en-US" w:eastAsia="zh-CN" w:bidi="ar-SA"/>
        </w:rPr>
        <w:t>产业发展方向，以</w:t>
      </w:r>
      <w:r>
        <w:rPr>
          <w:rFonts w:hint="default" w:ascii="Times New Roman" w:hAnsi="Times New Roman" w:eastAsia="仿宋" w:cs="Times New Roman"/>
          <w:color w:val="auto"/>
          <w:sz w:val="28"/>
          <w:szCs w:val="32"/>
          <w:lang w:bidi="ar-SA"/>
        </w:rPr>
        <w:t>打造</w:t>
      </w:r>
      <w:r>
        <w:rPr>
          <w:rFonts w:hint="eastAsia" w:ascii="Times New Roman" w:hAnsi="Times New Roman" w:eastAsia="仿宋" w:cs="Times New Roman"/>
          <w:color w:val="auto"/>
          <w:sz w:val="28"/>
          <w:szCs w:val="32"/>
          <w:lang w:val="en-US" w:eastAsia="zh-CN" w:bidi="ar-SA"/>
        </w:rPr>
        <w:t>高质量</w:t>
      </w:r>
      <w:r>
        <w:rPr>
          <w:rFonts w:hint="default" w:ascii="Times New Roman" w:hAnsi="Times New Roman" w:eastAsia="仿宋" w:cs="Times New Roman"/>
          <w:color w:val="auto"/>
          <w:sz w:val="28"/>
          <w:szCs w:val="32"/>
          <w:lang w:bidi="ar-SA"/>
        </w:rPr>
        <w:t>精密铸造产业</w:t>
      </w:r>
      <w:r>
        <w:rPr>
          <w:rFonts w:hint="eastAsia" w:ascii="Times New Roman" w:hAnsi="Times New Roman" w:eastAsia="仿宋" w:cs="Times New Roman"/>
          <w:color w:val="auto"/>
          <w:sz w:val="28"/>
          <w:szCs w:val="32"/>
          <w:lang w:val="en-US" w:eastAsia="zh-CN" w:bidi="ar-SA"/>
        </w:rPr>
        <w:t>为目标，支撑实体经济高效发展，为城市基础设施建设服务，提升城市的功能性。促进下游产业发展，增加就业岗位，为居民增收。</w:t>
      </w:r>
    </w:p>
    <w:p w14:paraId="2EC600C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米山道路片区：</w:t>
      </w:r>
      <w:r>
        <w:rPr>
          <w:rFonts w:hint="default" w:ascii="Times New Roman" w:hAnsi="Times New Roman" w:eastAsia="仿宋" w:cs="Times New Roman"/>
          <w:color w:val="auto"/>
          <w:sz w:val="28"/>
          <w:szCs w:val="32"/>
          <w:lang w:eastAsia="zh-CN" w:bidi="ar-SA"/>
        </w:rPr>
        <w:t>以</w:t>
      </w:r>
      <w:r>
        <w:rPr>
          <w:rFonts w:hint="eastAsia" w:ascii="Times New Roman" w:hAnsi="Times New Roman" w:eastAsia="仿宋" w:cs="Times New Roman"/>
          <w:color w:val="auto"/>
          <w:sz w:val="28"/>
          <w:szCs w:val="32"/>
          <w:lang w:val="en-US" w:eastAsia="zh-CN" w:bidi="ar-SA"/>
        </w:rPr>
        <w:t>公路</w:t>
      </w:r>
      <w:r>
        <w:rPr>
          <w:rFonts w:hint="default" w:ascii="Times New Roman" w:hAnsi="Times New Roman" w:eastAsia="仿宋" w:cs="Times New Roman"/>
          <w:color w:val="auto"/>
          <w:sz w:val="28"/>
          <w:szCs w:val="32"/>
          <w:lang w:bidi="ar-SA"/>
        </w:rPr>
        <w:t>用地为主，</w:t>
      </w:r>
      <w:r>
        <w:rPr>
          <w:rFonts w:hint="eastAsia" w:ascii="Times New Roman" w:hAnsi="Times New Roman" w:eastAsia="仿宋" w:cs="Times New Roman"/>
          <w:color w:val="auto"/>
          <w:sz w:val="28"/>
          <w:szCs w:val="32"/>
          <w:lang w:val="en-US" w:eastAsia="zh-CN" w:bidi="ar-SA"/>
        </w:rPr>
        <w:t>该片区对于健全公共服务体系，满足居民生活需求，增强人民群众获得感、幸福感、安全感，具有十分重要的意义。</w:t>
      </w:r>
    </w:p>
    <w:p w14:paraId="3CD4A6F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sz w:val="28"/>
          <w:szCs w:val="32"/>
          <w:lang w:val="en-US" w:eastAsia="zh-CN" w:bidi="ar-SA"/>
        </w:rPr>
      </w:pPr>
      <w:r>
        <w:rPr>
          <w:rFonts w:hint="eastAsia" w:ascii="Times New Roman" w:hAnsi="Times New Roman" w:eastAsia="仿宋" w:cs="Times New Roman"/>
          <w:b/>
          <w:bCs/>
          <w:sz w:val="28"/>
          <w:szCs w:val="32"/>
          <w:highlight w:val="none"/>
          <w:lang w:val="en-US" w:eastAsia="zh-CN" w:bidi="ar-SA"/>
        </w:rPr>
        <w:t>高铁新区A片区：</w:t>
      </w:r>
      <w:r>
        <w:rPr>
          <w:rFonts w:hint="default" w:ascii="Times New Roman" w:hAnsi="Times New Roman" w:eastAsia="仿宋" w:cs="Times New Roman"/>
          <w:color w:val="auto"/>
          <w:sz w:val="28"/>
          <w:szCs w:val="32"/>
          <w:highlight w:val="none"/>
          <w:lang w:eastAsia="zh-CN" w:bidi="ar-SA"/>
        </w:rPr>
        <w:t>以</w:t>
      </w:r>
      <w:r>
        <w:rPr>
          <w:rFonts w:hint="eastAsia" w:ascii="Times New Roman" w:hAnsi="Times New Roman" w:eastAsia="仿宋" w:cs="Times New Roman"/>
          <w:color w:val="auto"/>
          <w:sz w:val="28"/>
          <w:szCs w:val="32"/>
          <w:highlight w:val="none"/>
          <w:lang w:val="en-US" w:eastAsia="zh-CN" w:bidi="ar-SA"/>
        </w:rPr>
        <w:t>商业服务业</w:t>
      </w:r>
      <w:r>
        <w:rPr>
          <w:rFonts w:hint="default" w:ascii="Times New Roman" w:hAnsi="Times New Roman" w:eastAsia="仿宋" w:cs="Times New Roman"/>
          <w:color w:val="auto"/>
          <w:sz w:val="28"/>
          <w:szCs w:val="32"/>
          <w:highlight w:val="none"/>
          <w:lang w:eastAsia="zh-CN" w:bidi="ar-SA"/>
        </w:rPr>
        <w:t>用地为主，</w:t>
      </w:r>
      <w:r>
        <w:rPr>
          <w:rFonts w:hint="eastAsia" w:ascii="Times New Roman" w:hAnsi="Times New Roman" w:eastAsia="仿宋" w:cs="Times New Roman"/>
          <w:color w:val="auto"/>
          <w:sz w:val="28"/>
          <w:szCs w:val="32"/>
          <w:highlight w:val="none"/>
          <w:lang w:val="en-US" w:eastAsia="zh-CN" w:bidi="ar-SA"/>
        </w:rPr>
        <w:t>大力发展与居民生活质量息息相关的相关商业配套设施，</w:t>
      </w:r>
      <w:r>
        <w:rPr>
          <w:rFonts w:hint="default" w:ascii="Times New Roman" w:hAnsi="Times New Roman" w:eastAsia="仿宋" w:cs="Times New Roman"/>
          <w:color w:val="auto"/>
          <w:sz w:val="28"/>
          <w:szCs w:val="32"/>
          <w:highlight w:val="none"/>
          <w:lang w:eastAsia="zh-CN" w:bidi="ar-SA"/>
        </w:rPr>
        <w:t>依托</w:t>
      </w:r>
      <w:r>
        <w:rPr>
          <w:rFonts w:hint="eastAsia" w:ascii="Times New Roman" w:hAnsi="Times New Roman" w:eastAsia="仿宋" w:cs="Times New Roman"/>
          <w:color w:val="auto"/>
          <w:sz w:val="28"/>
          <w:szCs w:val="32"/>
          <w:highlight w:val="none"/>
          <w:lang w:val="en-US" w:eastAsia="zh-CN" w:bidi="ar-SA"/>
        </w:rPr>
        <w:t>东城、南城街道办现有的</w:t>
      </w:r>
      <w:r>
        <w:rPr>
          <w:rFonts w:hint="default" w:ascii="Times New Roman" w:hAnsi="Times New Roman" w:eastAsia="仿宋" w:cs="Times New Roman"/>
          <w:color w:val="auto"/>
          <w:sz w:val="28"/>
          <w:szCs w:val="32"/>
          <w:highlight w:val="none"/>
          <w:lang w:eastAsia="zh-CN" w:bidi="ar-SA"/>
        </w:rPr>
        <w:t>商业基础，完善</w:t>
      </w:r>
      <w:r>
        <w:rPr>
          <w:rFonts w:hint="eastAsia" w:ascii="Times New Roman" w:hAnsi="Times New Roman" w:eastAsia="仿宋" w:cs="Times New Roman"/>
          <w:color w:val="auto"/>
          <w:sz w:val="28"/>
          <w:szCs w:val="32"/>
          <w:highlight w:val="none"/>
          <w:lang w:val="en-US" w:eastAsia="zh-CN" w:bidi="ar-SA"/>
        </w:rPr>
        <w:t>该片区的城镇生活居住、商业和服务业等功能。</w:t>
      </w:r>
    </w:p>
    <w:p w14:paraId="08C519B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Times New Roman" w:hAnsi="Times New Roman" w:eastAsia="仿宋" w:cs="Times New Roman"/>
          <w:b/>
          <w:bCs/>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苏庄商业片区1、苏庄商业片区2：</w:t>
      </w:r>
      <w:r>
        <w:rPr>
          <w:rFonts w:hint="default" w:ascii="Times New Roman" w:hAnsi="Times New Roman" w:eastAsia="仿宋" w:cs="Times New Roman"/>
          <w:color w:val="auto"/>
          <w:sz w:val="28"/>
          <w:szCs w:val="32"/>
          <w:lang w:eastAsia="zh-CN" w:bidi="ar-SA"/>
        </w:rPr>
        <w:t>以商业服务业用地</w:t>
      </w:r>
      <w:r>
        <w:rPr>
          <w:rFonts w:hint="default" w:ascii="Times New Roman" w:hAnsi="Times New Roman" w:eastAsia="仿宋" w:cs="Times New Roman"/>
          <w:color w:val="auto"/>
          <w:sz w:val="28"/>
          <w:szCs w:val="32"/>
          <w:lang w:bidi="ar-SA"/>
        </w:rPr>
        <w:t>为主，</w:t>
      </w:r>
      <w:r>
        <w:rPr>
          <w:rFonts w:hint="eastAsia" w:ascii="Times New Roman" w:hAnsi="Times New Roman" w:eastAsia="仿宋" w:cs="Times New Roman"/>
          <w:color w:val="auto"/>
          <w:sz w:val="28"/>
          <w:szCs w:val="32"/>
          <w:lang w:val="en-US" w:eastAsia="zh-CN" w:bidi="ar-SA"/>
        </w:rPr>
        <w:t>通过不断完善喜镇苏庄的建设，可以有效利用和保护古建筑，传播传统文化，促进旅游业发展</w:t>
      </w:r>
      <w:r>
        <w:rPr>
          <w:rFonts w:hint="default" w:ascii="Times New Roman" w:hAnsi="Times New Roman" w:eastAsia="仿宋" w:cs="Times New Roman"/>
          <w:color w:val="auto"/>
          <w:sz w:val="28"/>
          <w:szCs w:val="32"/>
          <w:lang w:bidi="ar-SA"/>
        </w:rPr>
        <w:t>。</w:t>
      </w:r>
      <w:r>
        <w:rPr>
          <w:rFonts w:hint="eastAsia" w:ascii="Times New Roman" w:hAnsi="Times New Roman" w:eastAsia="仿宋" w:cs="Times New Roman"/>
          <w:color w:val="auto"/>
          <w:sz w:val="28"/>
          <w:szCs w:val="32"/>
          <w:lang w:val="en-US" w:eastAsia="zh-CN" w:bidi="ar-SA"/>
        </w:rPr>
        <w:t>有利于形成“一纵两横七片区”的空间布局，构建全域文化旅游康养格局。对提高城市形象，保护传统文化遗产，促进经济发展有重要意义。</w:t>
      </w:r>
    </w:p>
    <w:p w14:paraId="28FC594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default" w:ascii="Times New Roman" w:hAnsi="Times New Roman" w:eastAsia="仿宋" w:cs="Times New Roman"/>
          <w:sz w:val="28"/>
          <w:szCs w:val="32"/>
          <w:highlight w:val="none"/>
          <w:lang w:val="en-US" w:eastAsia="zh-CN" w:bidi="ar-SA"/>
        </w:rPr>
      </w:pPr>
      <w:r>
        <w:rPr>
          <w:rFonts w:hint="eastAsia" w:ascii="Times New Roman" w:hAnsi="Times New Roman" w:eastAsia="仿宋" w:cs="Times New Roman"/>
          <w:b/>
          <w:bCs/>
          <w:sz w:val="28"/>
          <w:szCs w:val="32"/>
          <w:highlight w:val="none"/>
          <w:lang w:val="en-US" w:eastAsia="zh-CN" w:bidi="ar-SA"/>
        </w:rPr>
        <w:t>许庄物流片区：</w:t>
      </w:r>
      <w:r>
        <w:rPr>
          <w:rFonts w:hint="default" w:ascii="Times New Roman" w:hAnsi="Times New Roman" w:eastAsia="仿宋" w:cs="Times New Roman"/>
          <w:color w:val="auto"/>
          <w:sz w:val="28"/>
          <w:szCs w:val="32"/>
          <w:lang w:eastAsia="zh-CN" w:bidi="ar-SA"/>
        </w:rPr>
        <w:t>以</w:t>
      </w:r>
      <w:r>
        <w:rPr>
          <w:rFonts w:hint="eastAsia" w:ascii="Times New Roman" w:hAnsi="Times New Roman" w:eastAsia="仿宋" w:cs="Times New Roman"/>
          <w:color w:val="auto"/>
          <w:sz w:val="28"/>
          <w:szCs w:val="32"/>
          <w:lang w:val="en-US" w:eastAsia="zh-CN" w:bidi="ar-SA"/>
        </w:rPr>
        <w:t>物流</w:t>
      </w:r>
      <w:r>
        <w:rPr>
          <w:rFonts w:hint="default" w:ascii="Times New Roman" w:hAnsi="Times New Roman" w:eastAsia="仿宋" w:cs="Times New Roman"/>
          <w:color w:val="auto"/>
          <w:sz w:val="28"/>
          <w:szCs w:val="32"/>
          <w:lang w:eastAsia="zh-CN" w:bidi="ar-SA"/>
        </w:rPr>
        <w:t>仓储用地</w:t>
      </w:r>
      <w:r>
        <w:rPr>
          <w:rFonts w:hint="default" w:ascii="Times New Roman" w:hAnsi="Times New Roman" w:eastAsia="仿宋" w:cs="Times New Roman"/>
          <w:color w:val="auto"/>
          <w:sz w:val="28"/>
          <w:szCs w:val="32"/>
          <w:lang w:bidi="ar-SA"/>
        </w:rPr>
        <w:t>为主，</w:t>
      </w:r>
      <w:r>
        <w:rPr>
          <w:rFonts w:hint="eastAsia" w:ascii="Times New Roman" w:hAnsi="Times New Roman" w:eastAsia="仿宋" w:cs="Times New Roman"/>
          <w:color w:val="auto"/>
          <w:sz w:val="28"/>
          <w:szCs w:val="32"/>
          <w:lang w:val="en-US" w:eastAsia="zh-CN" w:bidi="ar-SA"/>
        </w:rPr>
        <w:t>通过修建功能齐全的物流园区，可以降低物流成本，减少分散物流园区对城市空间的占用，减少对居民生活和城市环境的干扰，优化城市空间布局，提升城市形象。</w:t>
      </w:r>
    </w:p>
    <w:p w14:paraId="3D967401">
      <w:pPr>
        <w:spacing w:line="240" w:lineRule="auto"/>
        <w:ind w:firstLine="640"/>
        <w:rPr>
          <w:rFonts w:hint="default" w:ascii="Times New Roman" w:hAnsi="Times New Roman" w:eastAsia="仿宋" w:cs="Times New Roman"/>
          <w:b/>
          <w:bCs/>
          <w:color w:val="auto"/>
          <w:sz w:val="28"/>
          <w:szCs w:val="32"/>
          <w:lang w:bidi="ar-SA"/>
        </w:rPr>
      </w:pPr>
      <w:r>
        <w:rPr>
          <w:rFonts w:hint="eastAsia" w:ascii="Times New Roman" w:hAnsi="Times New Roman" w:eastAsia="仿宋" w:cs="Times New Roman"/>
          <w:b/>
          <w:bCs/>
          <w:sz w:val="28"/>
          <w:szCs w:val="32"/>
          <w:highlight w:val="none"/>
          <w:lang w:val="en-US" w:eastAsia="zh-CN" w:bidi="ar-SA"/>
        </w:rPr>
        <w:t>建宁商业片区：</w:t>
      </w:r>
      <w:r>
        <w:rPr>
          <w:rFonts w:hint="default" w:ascii="Times New Roman" w:hAnsi="Times New Roman" w:eastAsia="仿宋" w:cs="Times New Roman"/>
          <w:color w:val="auto"/>
          <w:sz w:val="28"/>
          <w:szCs w:val="32"/>
          <w:lang w:eastAsia="zh-CN" w:bidi="ar-SA"/>
        </w:rPr>
        <w:t>以商业服务业用地</w:t>
      </w:r>
      <w:r>
        <w:rPr>
          <w:rFonts w:hint="default" w:ascii="Times New Roman" w:hAnsi="Times New Roman" w:eastAsia="仿宋" w:cs="Times New Roman"/>
          <w:color w:val="auto"/>
          <w:sz w:val="28"/>
          <w:szCs w:val="32"/>
          <w:lang w:bidi="ar-SA"/>
        </w:rPr>
        <w:t>为主，</w:t>
      </w:r>
      <w:r>
        <w:rPr>
          <w:rFonts w:hint="eastAsia" w:ascii="Times New Roman" w:hAnsi="Times New Roman" w:eastAsia="仿宋" w:cs="Times New Roman"/>
          <w:color w:val="auto"/>
          <w:sz w:val="28"/>
          <w:szCs w:val="32"/>
          <w:lang w:val="en-US" w:eastAsia="zh-CN" w:bidi="ar-SA"/>
        </w:rPr>
        <w:t>发展相关配套基础设施，为城市基础设施建设服务，提升城市的功能性，</w:t>
      </w:r>
      <w:r>
        <w:rPr>
          <w:rFonts w:hint="default" w:ascii="Times New Roman" w:hAnsi="Times New Roman" w:eastAsia="仿宋" w:cs="Times New Roman"/>
          <w:color w:val="auto"/>
          <w:sz w:val="28"/>
          <w:szCs w:val="32"/>
          <w:highlight w:val="none"/>
          <w:lang w:eastAsia="zh-CN" w:bidi="ar-SA"/>
        </w:rPr>
        <w:t>完善</w:t>
      </w:r>
      <w:r>
        <w:rPr>
          <w:rFonts w:hint="eastAsia" w:ascii="Times New Roman" w:hAnsi="Times New Roman" w:eastAsia="仿宋" w:cs="Times New Roman"/>
          <w:color w:val="auto"/>
          <w:sz w:val="28"/>
          <w:szCs w:val="32"/>
          <w:highlight w:val="none"/>
          <w:lang w:val="en-US" w:eastAsia="zh-CN" w:bidi="ar-SA"/>
        </w:rPr>
        <w:t>该片区的城镇生活商业和服务业等功能。</w:t>
      </w:r>
    </w:p>
    <w:p w14:paraId="2C925DC9">
      <w:pPr>
        <w:spacing w:line="240" w:lineRule="auto"/>
        <w:ind w:firstLine="640"/>
        <w:rPr>
          <w:rFonts w:hint="default" w:ascii="Times New Roman" w:hAnsi="Times New Roman" w:eastAsia="仿宋" w:cs="Times New Roman"/>
          <w:b/>
          <w:bCs/>
          <w:color w:val="auto"/>
          <w:sz w:val="28"/>
          <w:szCs w:val="32"/>
          <w:lang w:bidi="ar-SA"/>
        </w:rPr>
      </w:pPr>
    </w:p>
    <w:p w14:paraId="7350AA94">
      <w:pPr>
        <w:rPr>
          <w:rFonts w:hint="default" w:ascii="Times New Roman" w:hAnsi="Times New Roman" w:eastAsia="仿宋" w:cs="Times New Roman"/>
          <w:sz w:val="28"/>
          <w:szCs w:val="32"/>
          <w:lang w:bidi="ar-SA"/>
        </w:rPr>
      </w:pPr>
      <w:r>
        <w:rPr>
          <w:rFonts w:hint="default" w:ascii="Times New Roman" w:hAnsi="Times New Roman" w:eastAsia="仿宋" w:cs="Times New Roman"/>
          <w:sz w:val="28"/>
          <w:szCs w:val="32"/>
          <w:lang w:bidi="ar-SA"/>
        </w:rPr>
        <w:br w:type="page"/>
      </w:r>
    </w:p>
    <w:p w14:paraId="54A92DD1">
      <w:pPr>
        <w:pStyle w:val="2"/>
        <w:numPr>
          <w:ilvl w:val="0"/>
          <w:numId w:val="0"/>
        </w:numPr>
        <w:bidi w:val="0"/>
        <w:ind w:left="432" w:leftChars="0" w:hanging="432" w:firstLineChars="0"/>
        <w:jc w:val="both"/>
        <w:rPr>
          <w:rFonts w:hint="default"/>
          <w:sz w:val="40"/>
          <w:szCs w:val="40"/>
        </w:rPr>
      </w:pPr>
      <w:bookmarkStart w:id="33" w:name="_Toc29277"/>
      <w:r>
        <w:rPr>
          <w:rFonts w:hint="default" w:ascii="Times New Roman" w:hAnsi="Times New Roman" w:eastAsia="仿宋" w:cs="Times New Roman"/>
          <w:b/>
          <w:bCs/>
          <w:kern w:val="44"/>
          <w:sz w:val="40"/>
          <w:szCs w:val="40"/>
          <w:lang w:val="en-US" w:eastAsia="zh-CN"/>
        </w:rPr>
        <w:t>5.</w:t>
      </w:r>
      <w:r>
        <w:rPr>
          <w:rFonts w:hint="eastAsia"/>
          <w:sz w:val="40"/>
          <w:szCs w:val="40"/>
          <w:lang w:val="en-US" w:eastAsia="zh-CN"/>
        </w:rPr>
        <w:t>拟</w:t>
      </w:r>
      <w:r>
        <w:rPr>
          <w:rFonts w:hint="default"/>
          <w:sz w:val="40"/>
          <w:szCs w:val="40"/>
        </w:rPr>
        <w:t>安排的建设项目、开发时序和年度实施计划</w:t>
      </w:r>
      <w:bookmarkEnd w:id="33"/>
    </w:p>
    <w:p w14:paraId="44B06A40">
      <w:pPr>
        <w:pStyle w:val="3"/>
        <w:numPr>
          <w:ilvl w:val="1"/>
          <w:numId w:val="0"/>
        </w:numPr>
        <w:tabs>
          <w:tab w:val="clear" w:pos="420"/>
        </w:tabs>
        <w:bidi w:val="0"/>
        <w:ind w:left="575" w:leftChars="0" w:hanging="575" w:firstLineChars="0"/>
        <w:rPr>
          <w:rFonts w:hint="default"/>
          <w:sz w:val="32"/>
          <w:szCs w:val="32"/>
          <w:lang w:val="en-US" w:eastAsia="zh-CN"/>
        </w:rPr>
      </w:pPr>
      <w:bookmarkStart w:id="34" w:name="_Toc706"/>
      <w:bookmarkStart w:id="35" w:name="_Toc21754"/>
      <w:bookmarkStart w:id="36" w:name="_Toc25734"/>
      <w:bookmarkStart w:id="37" w:name="_Toc24786"/>
      <w:r>
        <w:rPr>
          <w:rFonts w:hint="eastAsia" w:ascii="Times New Roman" w:hAnsi="Times New Roman" w:eastAsia="仿宋" w:cs="Times New Roman"/>
          <w:b/>
          <w:bCs/>
          <w:kern w:val="2"/>
          <w:sz w:val="32"/>
          <w:szCs w:val="32"/>
          <w:lang w:val="en-US" w:eastAsia="zh-CN"/>
        </w:rPr>
        <w:t>5.1.</w:t>
      </w:r>
      <w:r>
        <w:rPr>
          <w:rFonts w:hint="eastAsia"/>
          <w:sz w:val="32"/>
          <w:szCs w:val="32"/>
          <w:lang w:val="en-US" w:eastAsia="zh-CN"/>
        </w:rPr>
        <w:t>拟</w:t>
      </w:r>
      <w:r>
        <w:rPr>
          <w:rFonts w:hint="default"/>
          <w:sz w:val="32"/>
          <w:szCs w:val="32"/>
          <w:lang w:val="en-US" w:eastAsia="zh-CN"/>
        </w:rPr>
        <w:t>安排的建设项目</w:t>
      </w:r>
      <w:bookmarkEnd w:id="34"/>
      <w:bookmarkEnd w:id="35"/>
      <w:bookmarkEnd w:id="36"/>
      <w:bookmarkEnd w:id="37"/>
    </w:p>
    <w:p w14:paraId="5CDC7B9A">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本</w:t>
      </w:r>
      <w:r>
        <w:rPr>
          <w:rFonts w:hint="default" w:ascii="Times New Roman" w:hAnsi="Times New Roman" w:eastAsia="仿宋" w:cs="Times New Roman"/>
          <w:sz w:val="28"/>
          <w:szCs w:val="28"/>
          <w:highlight w:val="none"/>
          <w:lang w:val="en-US" w:eastAsia="zh-CN"/>
        </w:rPr>
        <w:t>方案拟安排</w:t>
      </w:r>
      <w:r>
        <w:rPr>
          <w:rFonts w:hint="eastAsia" w:ascii="Times New Roman" w:hAnsi="Times New Roman" w:eastAsia="仿宋" w:cs="Times New Roman"/>
          <w:sz w:val="28"/>
          <w:szCs w:val="28"/>
          <w:highlight w:val="none"/>
          <w:lang w:val="en-US" w:eastAsia="zh-CN"/>
        </w:rPr>
        <w:t>的</w:t>
      </w:r>
      <w:r>
        <w:rPr>
          <w:rFonts w:hint="default" w:ascii="Times New Roman" w:hAnsi="Times New Roman" w:eastAsia="仿宋" w:cs="Times New Roman"/>
          <w:sz w:val="28"/>
          <w:szCs w:val="28"/>
          <w:highlight w:val="none"/>
          <w:lang w:val="en-US" w:eastAsia="zh-CN"/>
        </w:rPr>
        <w:t>建设项目共</w:t>
      </w:r>
      <w:r>
        <w:rPr>
          <w:rFonts w:hint="eastAsia" w:ascii="Times New Roman" w:hAnsi="Times New Roman" w:eastAsia="仿宋" w:cs="Times New Roman"/>
          <w:sz w:val="28"/>
          <w:szCs w:val="28"/>
          <w:highlight w:val="none"/>
          <w:lang w:val="en-US" w:eastAsia="zh-CN"/>
        </w:rPr>
        <w:t>9个，</w:t>
      </w:r>
      <w:r>
        <w:rPr>
          <w:rFonts w:hint="default" w:ascii="Times New Roman" w:hAnsi="Times New Roman" w:eastAsia="仿宋" w:cs="Times New Roman"/>
          <w:sz w:val="28"/>
          <w:szCs w:val="28"/>
          <w:highlight w:val="none"/>
          <w:lang w:val="en-US" w:eastAsia="zh-CN"/>
        </w:rPr>
        <w:t>其中商业服务业用地类项目</w:t>
      </w:r>
      <w:r>
        <w:rPr>
          <w:rFonts w:hint="eastAsia" w:ascii="Times New Roman" w:hAnsi="Times New Roman" w:eastAsia="仿宋" w:cs="Times New Roman"/>
          <w:sz w:val="28"/>
          <w:szCs w:val="28"/>
          <w:highlight w:val="none"/>
          <w:lang w:val="en-US" w:eastAsia="zh-CN"/>
        </w:rPr>
        <w:t>4个，仓储用地类项目1个，</w:t>
      </w:r>
      <w:r>
        <w:rPr>
          <w:rFonts w:hint="default" w:ascii="Times New Roman" w:hAnsi="Times New Roman" w:eastAsia="仿宋" w:cs="Times New Roman"/>
          <w:sz w:val="28"/>
          <w:szCs w:val="28"/>
          <w:highlight w:val="none"/>
          <w:lang w:val="en-US" w:eastAsia="zh-CN"/>
        </w:rPr>
        <w:t>工</w:t>
      </w:r>
      <w:r>
        <w:rPr>
          <w:rFonts w:hint="eastAsia" w:ascii="Times New Roman" w:hAnsi="Times New Roman" w:eastAsia="仿宋" w:cs="Times New Roman"/>
          <w:sz w:val="28"/>
          <w:szCs w:val="28"/>
          <w:highlight w:val="none"/>
          <w:lang w:val="en-US" w:eastAsia="zh-CN"/>
        </w:rPr>
        <w:t>业</w:t>
      </w:r>
      <w:r>
        <w:rPr>
          <w:rFonts w:hint="default" w:ascii="Times New Roman" w:hAnsi="Times New Roman" w:eastAsia="仿宋" w:cs="Times New Roman"/>
          <w:sz w:val="28"/>
          <w:szCs w:val="28"/>
          <w:highlight w:val="none"/>
          <w:lang w:val="en-US" w:eastAsia="zh-CN"/>
        </w:rPr>
        <w:t>用地类项目</w:t>
      </w: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val="en-US" w:eastAsia="zh-CN"/>
        </w:rPr>
        <w:t>个，</w:t>
      </w:r>
      <w:r>
        <w:rPr>
          <w:rFonts w:hint="default" w:ascii="Times New Roman" w:hAnsi="Times New Roman" w:eastAsia="仿宋" w:cs="Times New Roman"/>
          <w:sz w:val="28"/>
          <w:szCs w:val="32"/>
          <w:highlight w:val="none"/>
          <w:lang w:eastAsia="zh-CN" w:bidi="ar-SA"/>
        </w:rPr>
        <w:t>交通运输用地</w:t>
      </w:r>
      <w:r>
        <w:rPr>
          <w:rFonts w:hint="default" w:ascii="Times New Roman" w:hAnsi="Times New Roman" w:eastAsia="仿宋" w:cs="Times New Roman"/>
          <w:sz w:val="28"/>
          <w:szCs w:val="28"/>
          <w:highlight w:val="none"/>
          <w:lang w:val="en-US" w:eastAsia="zh-CN"/>
        </w:rPr>
        <w:t>类项目</w:t>
      </w:r>
      <w:r>
        <w:rPr>
          <w:rFonts w:hint="eastAsia"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val="en-US" w:eastAsia="zh-CN"/>
        </w:rPr>
        <w:t>个。</w:t>
      </w:r>
    </w:p>
    <w:p w14:paraId="37FE0624">
      <w:pPr>
        <w:pStyle w:val="3"/>
        <w:numPr>
          <w:ilvl w:val="1"/>
          <w:numId w:val="0"/>
        </w:numPr>
        <w:tabs>
          <w:tab w:val="clear" w:pos="420"/>
        </w:tabs>
        <w:bidi w:val="0"/>
        <w:ind w:left="575" w:leftChars="0" w:hanging="575" w:firstLineChars="0"/>
        <w:rPr>
          <w:rFonts w:hint="default"/>
          <w:sz w:val="32"/>
          <w:szCs w:val="32"/>
          <w:lang w:val="en-US" w:eastAsia="zh-CN"/>
        </w:rPr>
      </w:pPr>
      <w:bookmarkStart w:id="38" w:name="_Toc17978"/>
      <w:bookmarkStart w:id="39" w:name="_Toc3107"/>
      <w:bookmarkStart w:id="40" w:name="_Toc1604"/>
      <w:bookmarkStart w:id="41" w:name="_Toc15302"/>
      <w:r>
        <w:rPr>
          <w:rFonts w:hint="eastAsia" w:ascii="Times New Roman" w:hAnsi="Times New Roman" w:eastAsia="仿宋" w:cs="Times New Roman"/>
          <w:b/>
          <w:bCs/>
          <w:kern w:val="2"/>
          <w:sz w:val="32"/>
          <w:szCs w:val="32"/>
          <w:lang w:val="en-US" w:eastAsia="zh-CN"/>
        </w:rPr>
        <w:t>5.2.</w:t>
      </w:r>
      <w:r>
        <w:rPr>
          <w:rFonts w:hint="default"/>
          <w:sz w:val="32"/>
          <w:szCs w:val="32"/>
          <w:lang w:val="en-US" w:eastAsia="zh-CN"/>
        </w:rPr>
        <w:t>开发时序</w:t>
      </w:r>
      <w:bookmarkEnd w:id="38"/>
      <w:bookmarkEnd w:id="39"/>
      <w:bookmarkEnd w:id="40"/>
      <w:bookmarkEnd w:id="41"/>
    </w:p>
    <w:p w14:paraId="433EF255">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sz w:val="28"/>
          <w:szCs w:val="28"/>
          <w:highlight w:val="none"/>
          <w:lang w:val="en-US" w:eastAsia="zh-CN"/>
        </w:rPr>
        <w:t>统筹考虑资源禀赋、基础设施情况、征收难度、融资情况、建设计划等因素，综合研究项目开发时序。</w:t>
      </w:r>
      <w:r>
        <w:rPr>
          <w:rFonts w:hint="eastAsia" w:ascii="Times New Roman" w:hAnsi="Times New Roman" w:eastAsia="仿宋" w:cs="Times New Roman"/>
          <w:sz w:val="28"/>
          <w:szCs w:val="28"/>
          <w:highlight w:val="none"/>
          <w:lang w:val="en-US" w:eastAsia="zh-CN"/>
        </w:rPr>
        <w:t>本</w:t>
      </w:r>
      <w:r>
        <w:rPr>
          <w:rFonts w:hint="default" w:ascii="Times New Roman" w:hAnsi="Times New Roman" w:eastAsia="仿宋" w:cs="Times New Roman"/>
          <w:sz w:val="28"/>
          <w:szCs w:val="28"/>
          <w:highlight w:val="none"/>
          <w:lang w:val="en-US" w:eastAsia="zh-CN"/>
        </w:rPr>
        <w:t>方案拟定建设项目开发时序为</w:t>
      </w:r>
      <w:r>
        <w:rPr>
          <w:rFonts w:hint="eastAsia" w:ascii="Times New Roman" w:hAnsi="Times New Roman" w:eastAsia="仿宋" w:cs="Times New Roman"/>
          <w:color w:val="auto"/>
          <w:sz w:val="28"/>
          <w:szCs w:val="28"/>
          <w:highlight w:val="none"/>
          <w:lang w:val="en-US" w:eastAsia="zh-CN"/>
        </w:rPr>
        <w:t>2025年，即2025年启动9个项目的土地征收工作</w:t>
      </w:r>
      <w:r>
        <w:rPr>
          <w:rFonts w:hint="default" w:ascii="Times New Roman" w:hAnsi="Times New Roman" w:eastAsia="仿宋" w:cs="Times New Roman"/>
          <w:color w:val="auto"/>
          <w:sz w:val="28"/>
          <w:szCs w:val="28"/>
          <w:highlight w:val="none"/>
          <w:lang w:val="en-US" w:eastAsia="zh-CN"/>
        </w:rPr>
        <w:t>。</w:t>
      </w:r>
    </w:p>
    <w:p w14:paraId="6931CBD0">
      <w:pPr>
        <w:pStyle w:val="3"/>
        <w:numPr>
          <w:ilvl w:val="1"/>
          <w:numId w:val="0"/>
        </w:numPr>
        <w:tabs>
          <w:tab w:val="clear" w:pos="420"/>
        </w:tabs>
        <w:bidi w:val="0"/>
        <w:ind w:left="575" w:leftChars="0" w:hanging="575" w:firstLineChars="0"/>
        <w:rPr>
          <w:rFonts w:hint="default"/>
          <w:sz w:val="32"/>
          <w:szCs w:val="32"/>
          <w:lang w:val="en-US" w:eastAsia="zh-CN"/>
        </w:rPr>
      </w:pPr>
      <w:bookmarkStart w:id="42" w:name="_Toc29461"/>
      <w:r>
        <w:rPr>
          <w:rFonts w:hint="eastAsia" w:ascii="Times New Roman" w:hAnsi="Times New Roman" w:eastAsia="仿宋" w:cs="Times New Roman"/>
          <w:b/>
          <w:bCs/>
          <w:kern w:val="2"/>
          <w:sz w:val="32"/>
          <w:szCs w:val="32"/>
          <w:lang w:val="en-US" w:eastAsia="zh-CN"/>
        </w:rPr>
        <w:t>5.3.</w:t>
      </w:r>
      <w:r>
        <w:rPr>
          <w:rFonts w:hint="default"/>
          <w:sz w:val="32"/>
          <w:szCs w:val="32"/>
          <w:lang w:val="en-US" w:eastAsia="zh-CN"/>
        </w:rPr>
        <w:t>年度实施计划</w:t>
      </w:r>
      <w:bookmarkEnd w:id="42"/>
    </w:p>
    <w:p w14:paraId="50982C09">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具体年度实施计划安排如下：</w:t>
      </w:r>
      <w:r>
        <w:rPr>
          <w:rFonts w:hint="eastAsia" w:ascii="Times New Roman" w:hAnsi="Times New Roman" w:eastAsia="仿宋" w:cs="Times New Roman"/>
          <w:sz w:val="28"/>
          <w:szCs w:val="28"/>
          <w:highlight w:val="none"/>
          <w:lang w:val="en-US" w:eastAsia="zh-CN"/>
        </w:rPr>
        <w:t>2025年计划实施9个项目的征收工作，拟征收45.9447公顷</w:t>
      </w:r>
      <w:r>
        <w:rPr>
          <w:rFonts w:hint="default" w:ascii="Times New Roman" w:hAnsi="Times New Roman" w:eastAsia="仿宋" w:cs="Times New Roman"/>
          <w:sz w:val="28"/>
          <w:szCs w:val="28"/>
          <w:highlight w:val="none"/>
          <w:lang w:val="en-US" w:eastAsia="zh-CN"/>
        </w:rPr>
        <w:t>。见</w:t>
      </w:r>
      <w:r>
        <w:rPr>
          <w:rFonts w:hint="eastAsia" w:ascii="Times New Roman" w:hAnsi="Times New Roman" w:eastAsia="仿宋" w:cs="Times New Roman"/>
          <w:sz w:val="28"/>
          <w:szCs w:val="28"/>
          <w:highlight w:val="none"/>
          <w:lang w:val="en-US" w:eastAsia="zh-CN"/>
        </w:rPr>
        <w:t>下</w:t>
      </w:r>
      <w:r>
        <w:rPr>
          <w:rFonts w:hint="default" w:ascii="Times New Roman" w:hAnsi="Times New Roman" w:eastAsia="仿宋" w:cs="Times New Roman"/>
          <w:sz w:val="28"/>
          <w:szCs w:val="28"/>
          <w:highlight w:val="none"/>
          <w:lang w:val="en-US" w:eastAsia="zh-CN"/>
        </w:rPr>
        <w:t>表。</w:t>
      </w:r>
    </w:p>
    <w:p w14:paraId="0FA5A3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表</w:t>
      </w:r>
      <w:r>
        <w:rPr>
          <w:rFonts w:hint="eastAsia" w:ascii="Times New Roman" w:hAnsi="Times New Roman" w:eastAsia="仿宋" w:cs="Times New Roman"/>
          <w:sz w:val="24"/>
          <w:szCs w:val="24"/>
          <w:highlight w:val="none"/>
          <w:lang w:val="en-US" w:eastAsia="zh-CN" w:bidi="ar-SA"/>
        </w:rPr>
        <w:t>5-1</w:t>
      </w:r>
      <w:r>
        <w:rPr>
          <w:rFonts w:hint="default" w:ascii="Times New Roman" w:hAnsi="Times New Roman" w:eastAsia="仿宋" w:cs="Times New Roman"/>
          <w:sz w:val="24"/>
          <w:szCs w:val="24"/>
          <w:highlight w:val="none"/>
          <w:lang w:val="en-US" w:eastAsia="zh-CN" w:bidi="ar-SA"/>
        </w:rPr>
        <w:t xml:space="preserve"> 开发时序情况表</w:t>
      </w:r>
    </w:p>
    <w:p w14:paraId="67D3929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outlineLvl w:val="9"/>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 xml:space="preserve">       单位：公顷</w:t>
      </w:r>
    </w:p>
    <w:tbl>
      <w:tblPr>
        <w:tblStyle w:val="18"/>
        <w:tblW w:w="87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6"/>
        <w:gridCol w:w="1322"/>
        <w:gridCol w:w="638"/>
        <w:gridCol w:w="3535"/>
        <w:gridCol w:w="1260"/>
        <w:gridCol w:w="1268"/>
      </w:tblGrid>
      <w:tr w14:paraId="10E9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36" w:type="dxa"/>
            <w:shd w:val="clear" w:color="auto" w:fill="auto"/>
            <w:noWrap/>
            <w:vAlign w:val="center"/>
          </w:tcPr>
          <w:p w14:paraId="21778145">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片区编号</w:t>
            </w:r>
          </w:p>
        </w:tc>
        <w:tc>
          <w:tcPr>
            <w:tcW w:w="1322" w:type="dxa"/>
            <w:shd w:val="clear" w:color="auto" w:fill="auto"/>
            <w:noWrap/>
            <w:vAlign w:val="center"/>
          </w:tcPr>
          <w:p w14:paraId="30D9811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片区名称</w:t>
            </w:r>
          </w:p>
        </w:tc>
        <w:tc>
          <w:tcPr>
            <w:tcW w:w="638" w:type="dxa"/>
            <w:shd w:val="clear" w:color="auto" w:fill="auto"/>
            <w:noWrap/>
            <w:vAlign w:val="center"/>
          </w:tcPr>
          <w:p w14:paraId="2A0A17A9">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项目编号</w:t>
            </w:r>
          </w:p>
        </w:tc>
        <w:tc>
          <w:tcPr>
            <w:tcW w:w="3535" w:type="dxa"/>
            <w:shd w:val="clear" w:color="auto" w:fill="auto"/>
            <w:noWrap/>
            <w:vAlign w:val="center"/>
          </w:tcPr>
          <w:p w14:paraId="4048BF2A">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建设项目</w:t>
            </w:r>
          </w:p>
        </w:tc>
        <w:tc>
          <w:tcPr>
            <w:tcW w:w="1260" w:type="dxa"/>
            <w:shd w:val="clear" w:color="auto" w:fill="auto"/>
            <w:noWrap/>
            <w:vAlign w:val="center"/>
          </w:tcPr>
          <w:p w14:paraId="4A3ACA3B">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实施年度</w:t>
            </w:r>
          </w:p>
        </w:tc>
        <w:tc>
          <w:tcPr>
            <w:tcW w:w="1268" w:type="dxa"/>
            <w:shd w:val="clear" w:color="auto" w:fill="auto"/>
            <w:noWrap/>
            <w:vAlign w:val="center"/>
          </w:tcPr>
          <w:p w14:paraId="2434FF1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项目面积</w:t>
            </w:r>
          </w:p>
        </w:tc>
      </w:tr>
      <w:tr w14:paraId="0C6A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36A5076D">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322" w:type="dxa"/>
            <w:shd w:val="clear" w:color="auto" w:fill="auto"/>
            <w:noWrap/>
            <w:vAlign w:val="bottom"/>
          </w:tcPr>
          <w:p w14:paraId="1D33C6D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三甲南片区</w:t>
            </w:r>
          </w:p>
        </w:tc>
        <w:tc>
          <w:tcPr>
            <w:tcW w:w="638" w:type="dxa"/>
            <w:shd w:val="clear" w:color="auto" w:fill="auto"/>
            <w:noWrap/>
            <w:vAlign w:val="center"/>
          </w:tcPr>
          <w:p w14:paraId="4D0D5F55">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3535" w:type="dxa"/>
            <w:shd w:val="clear" w:color="auto" w:fill="auto"/>
            <w:noWrap/>
            <w:vAlign w:val="center"/>
          </w:tcPr>
          <w:p w14:paraId="4277D42D">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众禾周边地块统征出让</w:t>
            </w:r>
          </w:p>
        </w:tc>
        <w:tc>
          <w:tcPr>
            <w:tcW w:w="1260" w:type="dxa"/>
            <w:shd w:val="clear" w:color="auto" w:fill="auto"/>
            <w:noWrap/>
            <w:vAlign w:val="center"/>
          </w:tcPr>
          <w:p w14:paraId="6F305B2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76ED778D">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4.2527 </w:t>
            </w:r>
          </w:p>
        </w:tc>
      </w:tr>
      <w:tr w14:paraId="0B95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vMerge w:val="restart"/>
            <w:shd w:val="clear" w:color="auto" w:fill="auto"/>
            <w:noWrap/>
            <w:vAlign w:val="center"/>
          </w:tcPr>
          <w:p w14:paraId="3BEB6CC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322" w:type="dxa"/>
            <w:vMerge w:val="restart"/>
            <w:shd w:val="clear" w:color="auto" w:fill="auto"/>
            <w:noWrap/>
            <w:vAlign w:val="bottom"/>
          </w:tcPr>
          <w:p w14:paraId="1D2A1F58">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米山北工业片区</w:t>
            </w:r>
          </w:p>
        </w:tc>
        <w:tc>
          <w:tcPr>
            <w:tcW w:w="638" w:type="dxa"/>
            <w:shd w:val="clear" w:color="auto" w:fill="auto"/>
            <w:noWrap/>
            <w:vAlign w:val="center"/>
          </w:tcPr>
          <w:p w14:paraId="231F18A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3535" w:type="dxa"/>
            <w:shd w:val="clear" w:color="auto" w:fill="auto"/>
            <w:noWrap/>
            <w:vAlign w:val="center"/>
          </w:tcPr>
          <w:p w14:paraId="1D0C1F24">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w:t>
            </w:r>
            <w:r>
              <w:rPr>
                <w:rFonts w:hint="default" w:ascii="Times New Roman" w:hAnsi="Times New Roman" w:eastAsia="仿宋" w:cs="Times New Roman"/>
                <w:b w:val="0"/>
                <w:bCs w:val="0"/>
                <w:i w:val="0"/>
                <w:iCs w:val="0"/>
                <w:color w:val="000000"/>
                <w:kern w:val="0"/>
                <w:sz w:val="21"/>
                <w:szCs w:val="21"/>
                <w:u w:val="none"/>
                <w:lang w:val="en-US" w:eastAsia="zh-CN" w:bidi="ar"/>
              </w:rPr>
              <w:t>A</w:t>
            </w:r>
            <w:r>
              <w:rPr>
                <w:rFonts w:hint="eastAsia" w:ascii="Times New Roman" w:hAnsi="Times New Roman" w:eastAsia="仿宋" w:cs="Times New Roman"/>
                <w:b w:val="0"/>
                <w:bCs w:val="0"/>
                <w:i w:val="0"/>
                <w:iCs w:val="0"/>
                <w:color w:val="000000"/>
                <w:kern w:val="0"/>
                <w:sz w:val="21"/>
                <w:szCs w:val="21"/>
                <w:u w:val="none"/>
                <w:lang w:val="en-US" w:eastAsia="zh-CN" w:bidi="ar"/>
              </w:rPr>
              <w:t>征地（泫氏铸管）统征出让</w:t>
            </w: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260" w:type="dxa"/>
            <w:shd w:val="clear" w:color="auto" w:fill="auto"/>
            <w:noWrap/>
            <w:vAlign w:val="center"/>
          </w:tcPr>
          <w:p w14:paraId="4C17B3BA">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5A2A9665">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11.1986 </w:t>
            </w:r>
          </w:p>
        </w:tc>
      </w:tr>
      <w:tr w14:paraId="1E55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vMerge w:val="continue"/>
            <w:shd w:val="clear" w:color="auto" w:fill="auto"/>
            <w:noWrap/>
            <w:vAlign w:val="bottom"/>
          </w:tcPr>
          <w:p w14:paraId="64A0F450">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p>
        </w:tc>
        <w:tc>
          <w:tcPr>
            <w:tcW w:w="1322" w:type="dxa"/>
            <w:vMerge w:val="continue"/>
            <w:shd w:val="clear" w:color="auto" w:fill="auto"/>
            <w:noWrap/>
            <w:vAlign w:val="bottom"/>
          </w:tcPr>
          <w:p w14:paraId="1A8D343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p>
        </w:tc>
        <w:tc>
          <w:tcPr>
            <w:tcW w:w="638" w:type="dxa"/>
            <w:shd w:val="clear" w:color="auto" w:fill="auto"/>
            <w:noWrap/>
            <w:vAlign w:val="center"/>
          </w:tcPr>
          <w:p w14:paraId="23546D4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3</w:t>
            </w:r>
          </w:p>
        </w:tc>
        <w:tc>
          <w:tcPr>
            <w:tcW w:w="3535" w:type="dxa"/>
            <w:shd w:val="clear" w:color="auto" w:fill="auto"/>
            <w:noWrap/>
            <w:vAlign w:val="center"/>
          </w:tcPr>
          <w:p w14:paraId="4983DB4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w:t>
            </w:r>
            <w:r>
              <w:rPr>
                <w:rFonts w:hint="default" w:ascii="Times New Roman" w:hAnsi="Times New Roman" w:eastAsia="仿宋" w:cs="Times New Roman"/>
                <w:b w:val="0"/>
                <w:bCs w:val="0"/>
                <w:i w:val="0"/>
                <w:iCs w:val="0"/>
                <w:color w:val="000000"/>
                <w:kern w:val="0"/>
                <w:sz w:val="21"/>
                <w:szCs w:val="21"/>
                <w:u w:val="none"/>
                <w:lang w:val="en-US" w:eastAsia="zh-CN" w:bidi="ar"/>
              </w:rPr>
              <w:t>A</w:t>
            </w:r>
            <w:r>
              <w:rPr>
                <w:rFonts w:hint="eastAsia" w:ascii="Times New Roman" w:hAnsi="Times New Roman" w:eastAsia="仿宋" w:cs="Times New Roman"/>
                <w:b w:val="0"/>
                <w:bCs w:val="0"/>
                <w:i w:val="0"/>
                <w:iCs w:val="0"/>
                <w:color w:val="000000"/>
                <w:kern w:val="0"/>
                <w:sz w:val="21"/>
                <w:szCs w:val="21"/>
                <w:u w:val="none"/>
                <w:lang w:val="en-US" w:eastAsia="zh-CN" w:bidi="ar"/>
              </w:rPr>
              <w:t>征地（泫氏铸管）统征出让</w:t>
            </w: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260" w:type="dxa"/>
            <w:shd w:val="clear" w:color="auto" w:fill="auto"/>
            <w:noWrap/>
            <w:vAlign w:val="center"/>
          </w:tcPr>
          <w:p w14:paraId="1F59C484">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181B308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22.8887 </w:t>
            </w:r>
          </w:p>
        </w:tc>
      </w:tr>
      <w:tr w14:paraId="1E2B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bottom"/>
          </w:tcPr>
          <w:p w14:paraId="065E3175">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3</w:t>
            </w:r>
          </w:p>
        </w:tc>
        <w:tc>
          <w:tcPr>
            <w:tcW w:w="1322" w:type="dxa"/>
            <w:shd w:val="clear" w:color="auto" w:fill="auto"/>
            <w:noWrap/>
            <w:vAlign w:val="bottom"/>
          </w:tcPr>
          <w:p w14:paraId="40600327">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米山道路片区</w:t>
            </w:r>
          </w:p>
        </w:tc>
        <w:tc>
          <w:tcPr>
            <w:tcW w:w="638" w:type="dxa"/>
            <w:shd w:val="clear" w:color="auto" w:fill="auto"/>
            <w:noWrap/>
            <w:vAlign w:val="center"/>
          </w:tcPr>
          <w:p w14:paraId="3968DB93">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4</w:t>
            </w:r>
          </w:p>
        </w:tc>
        <w:tc>
          <w:tcPr>
            <w:tcW w:w="3535" w:type="dxa"/>
            <w:shd w:val="clear" w:color="auto" w:fill="auto"/>
            <w:noWrap/>
            <w:vAlign w:val="center"/>
          </w:tcPr>
          <w:p w14:paraId="4740EEE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兴园东路</w:t>
            </w:r>
          </w:p>
        </w:tc>
        <w:tc>
          <w:tcPr>
            <w:tcW w:w="1260" w:type="dxa"/>
            <w:shd w:val="clear" w:color="auto" w:fill="auto"/>
            <w:noWrap/>
            <w:vAlign w:val="center"/>
          </w:tcPr>
          <w:p w14:paraId="38564462">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7CC183BD">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2.0440 </w:t>
            </w:r>
          </w:p>
        </w:tc>
      </w:tr>
      <w:tr w14:paraId="4FBD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bottom"/>
          </w:tcPr>
          <w:p w14:paraId="6024AD6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w:t>
            </w:r>
          </w:p>
        </w:tc>
        <w:tc>
          <w:tcPr>
            <w:tcW w:w="1322" w:type="dxa"/>
            <w:shd w:val="clear" w:color="auto" w:fill="auto"/>
            <w:noWrap/>
            <w:vAlign w:val="bottom"/>
          </w:tcPr>
          <w:p w14:paraId="0AAC9CF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高铁新区A片区</w:t>
            </w:r>
          </w:p>
        </w:tc>
        <w:tc>
          <w:tcPr>
            <w:tcW w:w="638" w:type="dxa"/>
            <w:shd w:val="clear" w:color="auto" w:fill="auto"/>
            <w:noWrap/>
            <w:vAlign w:val="center"/>
          </w:tcPr>
          <w:p w14:paraId="1845280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5</w:t>
            </w:r>
          </w:p>
        </w:tc>
        <w:tc>
          <w:tcPr>
            <w:tcW w:w="3535" w:type="dxa"/>
            <w:shd w:val="clear" w:color="auto" w:fill="auto"/>
            <w:noWrap/>
            <w:vAlign w:val="center"/>
          </w:tcPr>
          <w:p w14:paraId="7758B75E">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凯永饲料西侧（高铁新区统征商住）</w:t>
            </w:r>
          </w:p>
        </w:tc>
        <w:tc>
          <w:tcPr>
            <w:tcW w:w="1260" w:type="dxa"/>
            <w:shd w:val="clear" w:color="auto" w:fill="auto"/>
            <w:noWrap/>
            <w:vAlign w:val="center"/>
          </w:tcPr>
          <w:p w14:paraId="303D743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4FC640F2">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0.3405 </w:t>
            </w:r>
          </w:p>
        </w:tc>
      </w:tr>
      <w:tr w14:paraId="41F0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50A8D7D1">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5</w:t>
            </w:r>
          </w:p>
        </w:tc>
        <w:tc>
          <w:tcPr>
            <w:tcW w:w="1322" w:type="dxa"/>
            <w:shd w:val="clear" w:color="auto" w:fill="auto"/>
            <w:noWrap/>
            <w:vAlign w:val="bottom"/>
          </w:tcPr>
          <w:p w14:paraId="69B51715">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苏庄商业片区1</w:t>
            </w:r>
          </w:p>
        </w:tc>
        <w:tc>
          <w:tcPr>
            <w:tcW w:w="638" w:type="dxa"/>
            <w:shd w:val="clear" w:color="auto" w:fill="auto"/>
            <w:noWrap/>
            <w:vAlign w:val="center"/>
          </w:tcPr>
          <w:p w14:paraId="19696925">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6</w:t>
            </w:r>
          </w:p>
        </w:tc>
        <w:tc>
          <w:tcPr>
            <w:tcW w:w="3535" w:type="dxa"/>
            <w:shd w:val="clear" w:color="auto" w:fill="auto"/>
            <w:noWrap/>
            <w:vAlign w:val="center"/>
          </w:tcPr>
          <w:p w14:paraId="489D917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喜镇苏庄</w:t>
            </w:r>
            <w:r>
              <w:rPr>
                <w:rFonts w:hint="default" w:ascii="Times New Roman" w:hAnsi="Times New Roman" w:eastAsia="仿宋" w:cs="Times New Roman"/>
                <w:b w:val="0"/>
                <w:bCs w:val="0"/>
                <w:i w:val="0"/>
                <w:iCs w:val="0"/>
                <w:color w:val="000000"/>
                <w:kern w:val="0"/>
                <w:sz w:val="21"/>
                <w:szCs w:val="21"/>
                <w:u w:val="none"/>
                <w:lang w:val="en-US" w:eastAsia="zh-CN" w:bidi="ar"/>
              </w:rPr>
              <w:t>1</w:t>
            </w:r>
          </w:p>
        </w:tc>
        <w:tc>
          <w:tcPr>
            <w:tcW w:w="1260" w:type="dxa"/>
            <w:shd w:val="clear" w:color="auto" w:fill="auto"/>
            <w:noWrap/>
            <w:vAlign w:val="center"/>
          </w:tcPr>
          <w:p w14:paraId="4191F57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209948F1">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2.6647 </w:t>
            </w:r>
          </w:p>
        </w:tc>
      </w:tr>
      <w:tr w14:paraId="3EC9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37F055F3">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6</w:t>
            </w:r>
          </w:p>
        </w:tc>
        <w:tc>
          <w:tcPr>
            <w:tcW w:w="1322" w:type="dxa"/>
            <w:shd w:val="clear" w:color="auto" w:fill="auto"/>
            <w:noWrap/>
            <w:vAlign w:val="bottom"/>
          </w:tcPr>
          <w:p w14:paraId="0FABB568">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苏庄商业片区2</w:t>
            </w:r>
          </w:p>
        </w:tc>
        <w:tc>
          <w:tcPr>
            <w:tcW w:w="638" w:type="dxa"/>
            <w:shd w:val="clear" w:color="auto" w:fill="auto"/>
            <w:noWrap/>
            <w:vAlign w:val="center"/>
          </w:tcPr>
          <w:p w14:paraId="6B0E302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7</w:t>
            </w:r>
          </w:p>
        </w:tc>
        <w:tc>
          <w:tcPr>
            <w:tcW w:w="3535" w:type="dxa"/>
            <w:shd w:val="clear" w:color="auto" w:fill="auto"/>
            <w:noWrap/>
            <w:vAlign w:val="center"/>
          </w:tcPr>
          <w:p w14:paraId="19C0222B">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喜镇苏庄</w:t>
            </w:r>
            <w:r>
              <w:rPr>
                <w:rFonts w:hint="default" w:ascii="Times New Roman" w:hAnsi="Times New Roman" w:eastAsia="仿宋" w:cs="Times New Roman"/>
                <w:b w:val="0"/>
                <w:bCs w:val="0"/>
                <w:i w:val="0"/>
                <w:iCs w:val="0"/>
                <w:color w:val="000000"/>
                <w:kern w:val="0"/>
                <w:sz w:val="21"/>
                <w:szCs w:val="21"/>
                <w:u w:val="none"/>
                <w:lang w:val="en-US" w:eastAsia="zh-CN" w:bidi="ar"/>
              </w:rPr>
              <w:t>2</w:t>
            </w:r>
          </w:p>
        </w:tc>
        <w:tc>
          <w:tcPr>
            <w:tcW w:w="1260" w:type="dxa"/>
            <w:shd w:val="clear" w:color="auto" w:fill="auto"/>
            <w:noWrap/>
            <w:vAlign w:val="center"/>
          </w:tcPr>
          <w:p w14:paraId="600A9A9A">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2094D9BF">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0.1527 </w:t>
            </w:r>
          </w:p>
        </w:tc>
      </w:tr>
      <w:tr w14:paraId="4CCB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23EC758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7</w:t>
            </w:r>
          </w:p>
        </w:tc>
        <w:tc>
          <w:tcPr>
            <w:tcW w:w="1322" w:type="dxa"/>
            <w:shd w:val="clear" w:color="auto" w:fill="auto"/>
            <w:noWrap/>
            <w:vAlign w:val="bottom"/>
          </w:tcPr>
          <w:p w14:paraId="2BAA8A23">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许庄物流片区</w:t>
            </w:r>
          </w:p>
        </w:tc>
        <w:tc>
          <w:tcPr>
            <w:tcW w:w="638" w:type="dxa"/>
            <w:shd w:val="clear" w:color="auto" w:fill="auto"/>
            <w:noWrap/>
            <w:vAlign w:val="center"/>
          </w:tcPr>
          <w:p w14:paraId="24B021BC">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8</w:t>
            </w:r>
          </w:p>
        </w:tc>
        <w:tc>
          <w:tcPr>
            <w:tcW w:w="3535" w:type="dxa"/>
            <w:shd w:val="clear" w:color="auto" w:fill="auto"/>
            <w:noWrap/>
            <w:vAlign w:val="center"/>
          </w:tcPr>
          <w:p w14:paraId="74E3163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太行润源北侧</w:t>
            </w:r>
          </w:p>
        </w:tc>
        <w:tc>
          <w:tcPr>
            <w:tcW w:w="1260" w:type="dxa"/>
            <w:shd w:val="clear" w:color="auto" w:fill="auto"/>
            <w:noWrap/>
            <w:vAlign w:val="center"/>
          </w:tcPr>
          <w:p w14:paraId="36AD945C">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0B7697B8">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2.1951 </w:t>
            </w:r>
          </w:p>
        </w:tc>
      </w:tr>
      <w:tr w14:paraId="37A9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6" w:type="dxa"/>
            <w:shd w:val="clear" w:color="auto" w:fill="auto"/>
            <w:noWrap/>
            <w:vAlign w:val="center"/>
          </w:tcPr>
          <w:p w14:paraId="222B3416">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8</w:t>
            </w:r>
          </w:p>
        </w:tc>
        <w:tc>
          <w:tcPr>
            <w:tcW w:w="1322" w:type="dxa"/>
            <w:shd w:val="clear" w:color="auto" w:fill="auto"/>
            <w:noWrap/>
            <w:vAlign w:val="bottom"/>
          </w:tcPr>
          <w:p w14:paraId="0C17F00F">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建宁商业片区</w:t>
            </w:r>
          </w:p>
        </w:tc>
        <w:tc>
          <w:tcPr>
            <w:tcW w:w="638" w:type="dxa"/>
            <w:shd w:val="clear" w:color="auto" w:fill="auto"/>
            <w:noWrap/>
            <w:vAlign w:val="center"/>
          </w:tcPr>
          <w:p w14:paraId="754D55D0">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9</w:t>
            </w:r>
          </w:p>
        </w:tc>
        <w:tc>
          <w:tcPr>
            <w:tcW w:w="3535" w:type="dxa"/>
            <w:shd w:val="clear" w:color="auto" w:fill="auto"/>
            <w:noWrap/>
            <w:vAlign w:val="center"/>
          </w:tcPr>
          <w:p w14:paraId="71B5659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建宁乡统征出让加油站项目2025</w:t>
            </w:r>
          </w:p>
        </w:tc>
        <w:tc>
          <w:tcPr>
            <w:tcW w:w="1260" w:type="dxa"/>
            <w:shd w:val="clear" w:color="auto" w:fill="auto"/>
            <w:noWrap/>
            <w:vAlign w:val="center"/>
          </w:tcPr>
          <w:p w14:paraId="76CB3046">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2025</w:t>
            </w:r>
          </w:p>
        </w:tc>
        <w:tc>
          <w:tcPr>
            <w:tcW w:w="1268" w:type="dxa"/>
            <w:shd w:val="clear" w:color="auto" w:fill="auto"/>
            <w:noWrap/>
            <w:vAlign w:val="center"/>
          </w:tcPr>
          <w:p w14:paraId="76D8EFC0">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b w:val="0"/>
                <w:bCs w:val="0"/>
                <w:i w:val="0"/>
                <w:iCs w:val="0"/>
                <w:color w:val="000000"/>
                <w:kern w:val="0"/>
                <w:sz w:val="21"/>
                <w:szCs w:val="21"/>
                <w:u w:val="none"/>
                <w:lang w:val="en-US" w:eastAsia="zh-CN" w:bidi="ar"/>
              </w:rPr>
              <w:t xml:space="preserve">0.2077 </w:t>
            </w:r>
          </w:p>
        </w:tc>
      </w:tr>
      <w:tr w14:paraId="29F8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91" w:type="dxa"/>
            <w:gridSpan w:val="5"/>
            <w:shd w:val="clear" w:color="auto" w:fill="auto"/>
            <w:noWrap/>
            <w:vAlign w:val="center"/>
          </w:tcPr>
          <w:p w14:paraId="52B36EDE">
            <w:pPr>
              <w:keepNext w:val="0"/>
              <w:keepLines w:val="0"/>
              <w:widowControl/>
              <w:suppressLineNumbers w:val="0"/>
              <w:jc w:val="center"/>
              <w:textAlignment w:val="center"/>
              <w:rPr>
                <w:rFonts w:hint="eastAsia"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合计</w:t>
            </w:r>
          </w:p>
        </w:tc>
        <w:tc>
          <w:tcPr>
            <w:tcW w:w="1268" w:type="dxa"/>
            <w:shd w:val="clear" w:color="auto" w:fill="auto"/>
            <w:noWrap/>
            <w:vAlign w:val="center"/>
          </w:tcPr>
          <w:p w14:paraId="69225957">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eastAsia" w:ascii="Times New Roman" w:hAnsi="Times New Roman" w:eastAsia="仿宋" w:cs="Times New Roman"/>
                <w:b w:val="0"/>
                <w:bCs w:val="0"/>
                <w:i w:val="0"/>
                <w:iCs w:val="0"/>
                <w:color w:val="000000"/>
                <w:kern w:val="0"/>
                <w:sz w:val="21"/>
                <w:szCs w:val="21"/>
                <w:u w:val="none"/>
                <w:lang w:val="en-US" w:eastAsia="zh-CN" w:bidi="ar"/>
              </w:rPr>
              <w:t>45.9447</w:t>
            </w:r>
          </w:p>
        </w:tc>
      </w:tr>
    </w:tbl>
    <w:p w14:paraId="3A916AB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sz w:val="24"/>
          <w:szCs w:val="24"/>
          <w:highlight w:val="none"/>
          <w:lang w:val="en-US" w:eastAsia="zh-CN" w:bidi="ar-SA"/>
        </w:rPr>
      </w:pPr>
    </w:p>
    <w:p w14:paraId="428330F4">
      <w:pPr>
        <w:pStyle w:val="2"/>
        <w:numPr>
          <w:ilvl w:val="0"/>
          <w:numId w:val="0"/>
        </w:numPr>
        <w:bidi w:val="0"/>
        <w:ind w:left="432" w:leftChars="0" w:hanging="432" w:firstLineChars="0"/>
        <w:jc w:val="both"/>
        <w:rPr>
          <w:rFonts w:hint="default" w:ascii="Times New Roman" w:hAnsi="Times New Roman" w:eastAsia="仿宋" w:cs="Times New Roman"/>
          <w:b/>
          <w:bCs/>
          <w:kern w:val="44"/>
          <w:sz w:val="40"/>
          <w:szCs w:val="40"/>
          <w:lang w:val="en-US" w:eastAsia="zh-CN"/>
        </w:rPr>
        <w:sectPr>
          <w:footerReference r:id="rId6" w:type="default"/>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pPr>
    </w:p>
    <w:p w14:paraId="64A44E32">
      <w:pPr>
        <w:pStyle w:val="2"/>
        <w:numPr>
          <w:ilvl w:val="0"/>
          <w:numId w:val="0"/>
        </w:numPr>
        <w:bidi w:val="0"/>
        <w:ind w:left="432" w:leftChars="0" w:hanging="432" w:firstLineChars="0"/>
        <w:jc w:val="both"/>
        <w:rPr>
          <w:rFonts w:hint="default"/>
          <w:sz w:val="40"/>
          <w:szCs w:val="40"/>
        </w:rPr>
      </w:pPr>
      <w:bookmarkStart w:id="43" w:name="_Toc23746"/>
      <w:r>
        <w:rPr>
          <w:rFonts w:hint="default" w:ascii="Times New Roman" w:hAnsi="Times New Roman" w:eastAsia="仿宋" w:cs="Times New Roman"/>
          <w:b/>
          <w:bCs/>
          <w:kern w:val="44"/>
          <w:sz w:val="40"/>
          <w:szCs w:val="40"/>
          <w:lang w:val="en-US" w:eastAsia="zh-CN"/>
        </w:rPr>
        <w:t>6.</w:t>
      </w:r>
      <w:r>
        <w:rPr>
          <w:rFonts w:hint="default"/>
          <w:sz w:val="40"/>
          <w:szCs w:val="40"/>
        </w:rPr>
        <w:t>合规性分析</w:t>
      </w:r>
      <w:bookmarkEnd w:id="43"/>
    </w:p>
    <w:p w14:paraId="19C344F9">
      <w:pPr>
        <w:pStyle w:val="3"/>
        <w:numPr>
          <w:ilvl w:val="1"/>
          <w:numId w:val="0"/>
        </w:numPr>
        <w:tabs>
          <w:tab w:val="clear" w:pos="420"/>
        </w:tabs>
        <w:bidi w:val="0"/>
        <w:ind w:left="575" w:leftChars="0" w:hanging="575" w:firstLineChars="0"/>
        <w:rPr>
          <w:rFonts w:hint="default"/>
          <w:sz w:val="32"/>
          <w:szCs w:val="32"/>
        </w:rPr>
      </w:pPr>
      <w:bookmarkStart w:id="44" w:name="_Toc30883"/>
      <w:r>
        <w:rPr>
          <w:rFonts w:hint="eastAsia" w:ascii="Times New Roman" w:hAnsi="Times New Roman" w:eastAsia="仿宋" w:cs="Times New Roman"/>
          <w:b/>
          <w:bCs/>
          <w:kern w:val="2"/>
          <w:sz w:val="32"/>
          <w:szCs w:val="32"/>
          <w:lang w:val="en-US" w:eastAsia="zh-CN"/>
        </w:rPr>
        <w:t>6.1.</w:t>
      </w:r>
      <w:r>
        <w:rPr>
          <w:rFonts w:hint="eastAsia"/>
          <w:sz w:val="32"/>
          <w:szCs w:val="32"/>
          <w:lang w:val="en-US" w:eastAsia="zh-CN"/>
        </w:rPr>
        <w:t>与</w:t>
      </w:r>
      <w:r>
        <w:rPr>
          <w:rFonts w:hint="default"/>
          <w:sz w:val="32"/>
          <w:szCs w:val="32"/>
        </w:rPr>
        <w:t>国土空间规划</w:t>
      </w:r>
      <w:r>
        <w:rPr>
          <w:rFonts w:hint="eastAsia"/>
          <w:sz w:val="32"/>
          <w:szCs w:val="32"/>
          <w:lang w:val="en-US" w:eastAsia="zh-CN"/>
        </w:rPr>
        <w:t>符合性分析</w:t>
      </w:r>
      <w:bookmarkEnd w:id="44"/>
    </w:p>
    <w:p w14:paraId="56D969F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kern w:val="2"/>
          <w:sz w:val="28"/>
          <w:szCs w:val="32"/>
          <w:lang w:val="en-US" w:eastAsia="zh-CN" w:bidi="ar-SA"/>
        </w:rPr>
      </w:pPr>
      <w:bookmarkStart w:id="45" w:name="_Hlk100822022"/>
      <w:r>
        <w:rPr>
          <w:rFonts w:hint="default" w:ascii="Times New Roman" w:hAnsi="Times New Roman" w:eastAsia="仿宋" w:cs="Times New Roman"/>
          <w:kern w:val="2"/>
          <w:sz w:val="28"/>
          <w:szCs w:val="32"/>
          <w:lang w:val="en-US" w:eastAsia="zh-CN" w:bidi="ar-SA"/>
        </w:rPr>
        <w:t>本方案</w:t>
      </w:r>
      <w:r>
        <w:rPr>
          <w:rFonts w:hint="eastAsia" w:ascii="Times New Roman" w:hAnsi="Times New Roman" w:eastAsia="仿宋" w:cs="Times New Roman"/>
          <w:kern w:val="2"/>
          <w:sz w:val="28"/>
          <w:szCs w:val="32"/>
          <w:lang w:val="en-US" w:eastAsia="zh-CN" w:bidi="ar-SA"/>
        </w:rPr>
        <w:t>成片开发范围</w:t>
      </w:r>
      <w:r>
        <w:rPr>
          <w:rFonts w:hint="default" w:ascii="Times New Roman" w:hAnsi="Times New Roman" w:eastAsia="仿宋" w:cs="Times New Roman"/>
          <w:kern w:val="2"/>
          <w:sz w:val="28"/>
          <w:szCs w:val="32"/>
          <w:lang w:val="en-US" w:eastAsia="zh-CN" w:bidi="ar-SA"/>
        </w:rPr>
        <w:t>均位于</w:t>
      </w:r>
      <w:r>
        <w:rPr>
          <w:rFonts w:hint="eastAsia" w:ascii="Times New Roman" w:hAnsi="Times New Roman" w:eastAsia="仿宋" w:cs="Times New Roman"/>
          <w:kern w:val="2"/>
          <w:sz w:val="28"/>
          <w:szCs w:val="32"/>
          <w:lang w:val="en-US" w:eastAsia="zh-CN" w:bidi="ar-SA"/>
        </w:rPr>
        <w:t>国土空间规划确定的城镇建设用地范围</w:t>
      </w:r>
      <w:r>
        <w:rPr>
          <w:rFonts w:hint="default" w:ascii="Times New Roman" w:hAnsi="Times New Roman" w:eastAsia="仿宋" w:cs="Times New Roman"/>
          <w:kern w:val="2"/>
          <w:sz w:val="28"/>
          <w:szCs w:val="32"/>
          <w:lang w:val="en-US" w:eastAsia="zh-CN" w:bidi="ar-SA"/>
        </w:rPr>
        <w:t>内</w:t>
      </w:r>
      <w:bookmarkEnd w:id="45"/>
      <w:r>
        <w:rPr>
          <w:rFonts w:hint="default" w:ascii="Times New Roman" w:hAnsi="Times New Roman" w:eastAsia="仿宋" w:cs="Times New Roman"/>
          <w:kern w:val="2"/>
          <w:sz w:val="28"/>
          <w:szCs w:val="32"/>
          <w:lang w:val="en-US" w:eastAsia="zh-CN" w:bidi="ar-SA"/>
        </w:rPr>
        <w:t>，不</w:t>
      </w:r>
      <w:r>
        <w:rPr>
          <w:rFonts w:hint="eastAsia" w:ascii="Times New Roman" w:hAnsi="Times New Roman" w:eastAsia="仿宋" w:cs="Times New Roman"/>
          <w:kern w:val="2"/>
          <w:sz w:val="28"/>
          <w:szCs w:val="32"/>
          <w:lang w:val="en-US" w:eastAsia="zh-CN" w:bidi="ar-SA"/>
        </w:rPr>
        <w:t>涉及</w:t>
      </w:r>
      <w:r>
        <w:rPr>
          <w:rFonts w:hint="default" w:ascii="Times New Roman" w:hAnsi="Times New Roman" w:eastAsia="仿宋" w:cs="Times New Roman"/>
          <w:kern w:val="2"/>
          <w:sz w:val="28"/>
          <w:szCs w:val="32"/>
          <w:lang w:val="en-US" w:eastAsia="zh-CN" w:bidi="ar-SA"/>
        </w:rPr>
        <w:t>永久基本农田、不涉及生态保护红线</w:t>
      </w:r>
      <w:r>
        <w:rPr>
          <w:rFonts w:hint="eastAsia" w:ascii="Times New Roman" w:hAnsi="Times New Roman" w:eastAsia="仿宋" w:cs="Times New Roman"/>
          <w:kern w:val="2"/>
          <w:sz w:val="28"/>
          <w:szCs w:val="32"/>
          <w:lang w:val="en-US" w:eastAsia="zh-CN" w:bidi="ar-SA"/>
        </w:rPr>
        <w:t>，</w:t>
      </w:r>
      <w:r>
        <w:rPr>
          <w:rFonts w:hint="default" w:ascii="Times New Roman" w:hAnsi="Times New Roman" w:eastAsia="仿宋" w:cs="Times New Roman"/>
          <w:kern w:val="2"/>
          <w:sz w:val="28"/>
          <w:szCs w:val="32"/>
          <w:lang w:val="en-US" w:eastAsia="zh-CN" w:bidi="ar-SA"/>
        </w:rPr>
        <w:t>符合</w:t>
      </w:r>
      <w:r>
        <w:rPr>
          <w:rFonts w:hint="default" w:ascii="Times New Roman" w:hAnsi="Times New Roman" w:eastAsia="仿宋" w:cs="Times New Roman"/>
          <w:sz w:val="28"/>
          <w:szCs w:val="28"/>
          <w:highlight w:val="none"/>
          <w:lang w:val="en-US" w:eastAsia="zh-CN" w:bidi="ar-SA"/>
        </w:rPr>
        <w:t>《山西省土地征收成片开发</w:t>
      </w:r>
      <w:r>
        <w:rPr>
          <w:rFonts w:hint="eastAsia" w:ascii="Times New Roman" w:hAnsi="Times New Roman" w:eastAsia="仿宋" w:cs="Times New Roman"/>
          <w:sz w:val="28"/>
          <w:szCs w:val="28"/>
          <w:highlight w:val="none"/>
          <w:lang w:val="en-US" w:eastAsia="zh-CN" w:bidi="ar-SA"/>
        </w:rPr>
        <w:t>方案编制</w:t>
      </w:r>
      <w:r>
        <w:rPr>
          <w:rFonts w:hint="default" w:ascii="Times New Roman" w:hAnsi="Times New Roman" w:eastAsia="仿宋" w:cs="Times New Roman"/>
          <w:sz w:val="28"/>
          <w:szCs w:val="28"/>
          <w:highlight w:val="none"/>
          <w:lang w:val="en-US" w:eastAsia="zh-CN" w:bidi="ar-SA"/>
        </w:rPr>
        <w:t>技术指南（试行）》（晋自然资发〔2021〕30号）</w:t>
      </w:r>
      <w:r>
        <w:rPr>
          <w:rFonts w:hint="default" w:ascii="Times New Roman" w:hAnsi="Times New Roman" w:eastAsia="仿宋" w:cs="Times New Roman"/>
          <w:sz w:val="28"/>
          <w:szCs w:val="32"/>
          <w:lang w:eastAsia="zh-CN" w:bidi="ar-SA"/>
        </w:rPr>
        <w:t>及《山西省土地征收成片开发标准实施细则》（晋自然资发〔2024〕18号）</w:t>
      </w:r>
      <w:r>
        <w:rPr>
          <w:rFonts w:hint="eastAsia" w:ascii="Times New Roman" w:hAnsi="Times New Roman" w:eastAsia="仿宋" w:cs="Times New Roman"/>
          <w:sz w:val="28"/>
          <w:szCs w:val="32"/>
          <w:lang w:val="en-US" w:eastAsia="zh-CN" w:bidi="ar-SA"/>
        </w:rPr>
        <w:t>的</w:t>
      </w:r>
      <w:r>
        <w:rPr>
          <w:rFonts w:hint="default" w:ascii="Times New Roman" w:hAnsi="Times New Roman" w:eastAsia="仿宋" w:cs="Times New Roman"/>
          <w:kern w:val="2"/>
          <w:sz w:val="28"/>
          <w:szCs w:val="32"/>
          <w:lang w:val="en-US" w:eastAsia="zh-CN" w:bidi="ar-SA"/>
        </w:rPr>
        <w:t>相关规定</w:t>
      </w:r>
      <w:r>
        <w:rPr>
          <w:rFonts w:hint="eastAsia" w:ascii="Times New Roman" w:hAnsi="Times New Roman" w:eastAsia="仿宋" w:cs="Times New Roman"/>
          <w:kern w:val="2"/>
          <w:sz w:val="28"/>
          <w:szCs w:val="32"/>
          <w:lang w:val="en-US" w:eastAsia="zh-CN" w:bidi="ar-SA"/>
        </w:rPr>
        <w:t>，与高平市国土空间规划相符</w:t>
      </w:r>
      <w:r>
        <w:rPr>
          <w:rFonts w:hint="default" w:ascii="Times New Roman" w:hAnsi="Times New Roman" w:eastAsia="仿宋" w:cs="Times New Roman"/>
          <w:kern w:val="2"/>
          <w:sz w:val="28"/>
          <w:szCs w:val="32"/>
          <w:lang w:val="en-US" w:eastAsia="zh-CN" w:bidi="ar-SA"/>
        </w:rPr>
        <w:t>。</w:t>
      </w:r>
    </w:p>
    <w:p w14:paraId="123D0600">
      <w:pPr>
        <w:pStyle w:val="3"/>
        <w:numPr>
          <w:ilvl w:val="1"/>
          <w:numId w:val="0"/>
        </w:numPr>
        <w:tabs>
          <w:tab w:val="clear" w:pos="420"/>
        </w:tabs>
        <w:bidi w:val="0"/>
        <w:ind w:left="575" w:leftChars="0" w:hanging="575" w:firstLineChars="0"/>
        <w:rPr>
          <w:rFonts w:hint="default"/>
          <w:sz w:val="32"/>
          <w:szCs w:val="32"/>
        </w:rPr>
      </w:pPr>
      <w:bookmarkStart w:id="46" w:name="_Toc15606"/>
      <w:r>
        <w:rPr>
          <w:rFonts w:hint="eastAsia" w:ascii="Times New Roman" w:hAnsi="Times New Roman" w:eastAsia="仿宋" w:cs="Times New Roman"/>
          <w:b/>
          <w:bCs/>
          <w:kern w:val="2"/>
          <w:sz w:val="32"/>
          <w:szCs w:val="32"/>
          <w:lang w:val="en-US" w:eastAsia="zh-CN"/>
        </w:rPr>
        <w:t>6.2.</w:t>
      </w:r>
      <w:r>
        <w:rPr>
          <w:rFonts w:hint="eastAsia"/>
          <w:sz w:val="32"/>
          <w:szCs w:val="32"/>
          <w:lang w:val="en-US" w:eastAsia="zh-CN"/>
        </w:rPr>
        <w:t>与</w:t>
      </w:r>
      <w:r>
        <w:rPr>
          <w:rFonts w:hint="default"/>
          <w:sz w:val="32"/>
          <w:szCs w:val="32"/>
        </w:rPr>
        <w:t>国民经济和社会发展规划</w:t>
      </w:r>
      <w:r>
        <w:rPr>
          <w:rFonts w:hint="eastAsia"/>
          <w:sz w:val="32"/>
          <w:szCs w:val="32"/>
          <w:lang w:eastAsia="zh-CN"/>
        </w:rPr>
        <w:t>、</w:t>
      </w:r>
      <w:r>
        <w:rPr>
          <w:rFonts w:hint="eastAsia"/>
          <w:sz w:val="32"/>
          <w:szCs w:val="32"/>
          <w:lang w:val="en-US" w:eastAsia="zh-CN"/>
        </w:rPr>
        <w:t>年度计划符合性分析</w:t>
      </w:r>
      <w:bookmarkEnd w:id="46"/>
    </w:p>
    <w:p w14:paraId="78EA0E6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bookmarkStart w:id="47" w:name="_Hlk92816585"/>
      <w:r>
        <w:rPr>
          <w:rFonts w:hint="default" w:ascii="Times New Roman" w:hAnsi="Times New Roman" w:eastAsia="仿宋" w:cs="Times New Roman"/>
          <w:color w:val="auto"/>
          <w:kern w:val="2"/>
          <w:sz w:val="28"/>
          <w:szCs w:val="32"/>
          <w:lang w:val="en-US" w:eastAsia="zh-CN" w:bidi="ar-SA"/>
        </w:rPr>
        <w:t>依据《</w:t>
      </w:r>
      <w:r>
        <w:rPr>
          <w:rFonts w:hint="eastAsia" w:ascii="Times New Roman" w:hAnsi="Times New Roman" w:eastAsia="仿宋" w:cs="Times New Roman"/>
          <w:color w:val="auto"/>
          <w:kern w:val="2"/>
          <w:sz w:val="28"/>
          <w:szCs w:val="32"/>
          <w:lang w:val="en-US" w:eastAsia="zh-CN" w:bidi="ar-SA"/>
        </w:rPr>
        <w:t>高平市</w:t>
      </w:r>
      <w:r>
        <w:rPr>
          <w:rFonts w:hint="default" w:ascii="Times New Roman" w:hAnsi="Times New Roman" w:eastAsia="仿宋" w:cs="Times New Roman"/>
          <w:color w:val="auto"/>
          <w:kern w:val="2"/>
          <w:sz w:val="28"/>
          <w:szCs w:val="32"/>
          <w:lang w:val="en-US" w:eastAsia="zh-CN" w:bidi="ar-SA"/>
        </w:rPr>
        <w:t>国民经济和社会发展第十四个五年规划和二〇三五年远景目标纲要》：“十四五”时期，是高平经济社会发展的关键转型期，也是全面转向高质量发展的转折期、攻坚期。从高平情况看，“十三五”期间取得多个领域先行先试、示范区发展优势，绿色矿山、煤化工、新装备、新材料、新能源、特色农业、文化旅游等都呈现良好发展态势，郑太高铁的通车极大改善居民出入条件，为文化交流、旅游客源引进等带来新的发展机遇。</w:t>
      </w:r>
    </w:p>
    <w:p w14:paraId="5AB715D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eastAsia" w:ascii="Times New Roman" w:hAnsi="Times New Roman" w:eastAsia="仿宋" w:cs="Times New Roman"/>
          <w:color w:val="auto"/>
          <w:kern w:val="2"/>
          <w:sz w:val="28"/>
          <w:szCs w:val="32"/>
          <w:highlight w:val="none"/>
          <w:lang w:val="en-US" w:eastAsia="zh-CN" w:bidi="ar-SA"/>
        </w:rPr>
      </w:pPr>
      <w:r>
        <w:rPr>
          <w:rFonts w:hint="default" w:ascii="Times New Roman" w:hAnsi="Times New Roman" w:eastAsia="仿宋" w:cs="Times New Roman"/>
          <w:color w:val="auto"/>
          <w:kern w:val="2"/>
          <w:sz w:val="28"/>
          <w:szCs w:val="32"/>
          <w:lang w:val="en-US" w:eastAsia="zh-CN" w:bidi="ar-SA"/>
        </w:rPr>
        <w:t>在全面建成小康社会的基础上，再经过十五年的努力，主要经济指标达到或超出全国平均水平，保持全省和晋城市前列，资源型经济转型任务全面完成，实现更高质量更有效率更加公平更可持续更为安全的发展。一流创新生态构建形成，创新驱动能力显著增强，科技成果转化利用水平大幅跃升，建成煤炭化工铸造建材、新能源新材料、台湾产业园、“五彩”现代农业、文化旅游和康养五大百亿级产业集群。环境质量根本好转，生态文明制度体系全面形成，碳排放达峰后稳中有降，碳中和稳步推进。形成以“一轴一廊三区五镇”为构架的大县城格局，成功创建全国文明城市和国家卫生城市。乡村振兴取得决定性进展，农业农村现代化基本实现。民生福祉不断增进，基本公共服务实现均等化，文化软实力显著增强，社会治理能力现代化水平不断提高，人民群众现代化的高品质生活基本实现，与晋城市、全省、全国同步基本实现现代化，全市人民共同富裕取得更为明显的实质性进展。</w:t>
      </w:r>
    </w:p>
    <w:p w14:paraId="5EFEFC3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r>
        <w:rPr>
          <w:rFonts w:hint="default" w:ascii="Times New Roman" w:hAnsi="Times New Roman" w:eastAsia="仿宋" w:cs="Times New Roman"/>
          <w:color w:val="auto"/>
          <w:kern w:val="2"/>
          <w:sz w:val="28"/>
          <w:szCs w:val="32"/>
          <w:lang w:val="en-US" w:eastAsia="zh-CN" w:bidi="ar-SA"/>
        </w:rPr>
        <w:t>本方案符合《</w:t>
      </w:r>
      <w:r>
        <w:rPr>
          <w:rFonts w:hint="eastAsia" w:ascii="Times New Roman" w:hAnsi="Times New Roman" w:eastAsia="仿宋" w:cs="Times New Roman"/>
          <w:color w:val="auto"/>
          <w:kern w:val="2"/>
          <w:sz w:val="28"/>
          <w:szCs w:val="32"/>
          <w:lang w:val="en-US" w:eastAsia="zh-CN" w:bidi="ar-SA"/>
        </w:rPr>
        <w:t>高平市</w:t>
      </w:r>
      <w:r>
        <w:rPr>
          <w:rFonts w:hint="default" w:ascii="Times New Roman" w:hAnsi="Times New Roman" w:eastAsia="仿宋" w:cs="Times New Roman"/>
          <w:color w:val="auto"/>
          <w:kern w:val="2"/>
          <w:sz w:val="28"/>
          <w:szCs w:val="32"/>
          <w:lang w:val="en-US" w:eastAsia="zh-CN" w:bidi="ar-SA"/>
        </w:rPr>
        <w:t>国民经济和社会发展第十四个五年规划和二〇三五年远景目标纲要》的发展定位及战略要求。</w:t>
      </w:r>
    </w:p>
    <w:p w14:paraId="5A70857E">
      <w:pPr>
        <w:pStyle w:val="3"/>
        <w:numPr>
          <w:ilvl w:val="1"/>
          <w:numId w:val="0"/>
        </w:numPr>
        <w:tabs>
          <w:tab w:val="clear" w:pos="420"/>
        </w:tabs>
        <w:bidi w:val="0"/>
        <w:ind w:left="575" w:leftChars="0" w:hanging="575" w:firstLineChars="0"/>
        <w:rPr>
          <w:rFonts w:hint="default"/>
          <w:sz w:val="32"/>
          <w:szCs w:val="32"/>
        </w:rPr>
      </w:pPr>
      <w:bookmarkStart w:id="48" w:name="_Toc12"/>
      <w:r>
        <w:rPr>
          <w:rFonts w:hint="eastAsia" w:ascii="Times New Roman" w:hAnsi="Times New Roman" w:eastAsia="仿宋" w:cs="Times New Roman"/>
          <w:b/>
          <w:bCs/>
          <w:kern w:val="2"/>
          <w:sz w:val="32"/>
          <w:szCs w:val="32"/>
          <w:lang w:val="en-US" w:eastAsia="zh-CN"/>
        </w:rPr>
        <w:t>6.</w:t>
      </w:r>
      <w:r>
        <w:rPr>
          <w:rFonts w:hint="eastAsia" w:cs="Times New Roman"/>
          <w:b/>
          <w:bCs/>
          <w:kern w:val="2"/>
          <w:sz w:val="32"/>
          <w:szCs w:val="32"/>
          <w:lang w:val="en-US" w:eastAsia="zh-CN"/>
        </w:rPr>
        <w:t>3</w:t>
      </w:r>
      <w:r>
        <w:rPr>
          <w:rFonts w:hint="eastAsia" w:ascii="Times New Roman" w:hAnsi="Times New Roman" w:eastAsia="仿宋" w:cs="Times New Roman"/>
          <w:b/>
          <w:bCs/>
          <w:kern w:val="2"/>
          <w:sz w:val="32"/>
          <w:szCs w:val="32"/>
          <w:lang w:val="en-US" w:eastAsia="zh-CN"/>
        </w:rPr>
        <w:t>.</w:t>
      </w:r>
      <w:r>
        <w:rPr>
          <w:rFonts w:hint="eastAsia"/>
          <w:sz w:val="32"/>
          <w:szCs w:val="32"/>
          <w:lang w:val="en-US" w:eastAsia="zh-CN"/>
        </w:rPr>
        <w:t>与</w:t>
      </w:r>
      <w:r>
        <w:rPr>
          <w:rFonts w:hint="default"/>
          <w:sz w:val="32"/>
          <w:szCs w:val="32"/>
        </w:rPr>
        <w:t>生态环境</w:t>
      </w:r>
      <w:r>
        <w:rPr>
          <w:rFonts w:hint="eastAsia"/>
          <w:sz w:val="32"/>
          <w:szCs w:val="32"/>
          <w:lang w:eastAsia="zh-CN"/>
        </w:rPr>
        <w:t>“</w:t>
      </w:r>
      <w:r>
        <w:rPr>
          <w:rFonts w:hint="default"/>
          <w:sz w:val="32"/>
          <w:szCs w:val="32"/>
        </w:rPr>
        <w:t>三线一单</w:t>
      </w:r>
      <w:bookmarkEnd w:id="47"/>
      <w:r>
        <w:rPr>
          <w:rFonts w:hint="eastAsia"/>
          <w:sz w:val="32"/>
          <w:szCs w:val="32"/>
          <w:lang w:eastAsia="zh-CN"/>
        </w:rPr>
        <w:t>”</w:t>
      </w:r>
      <w:r>
        <w:rPr>
          <w:rFonts w:hint="eastAsia"/>
          <w:sz w:val="32"/>
          <w:szCs w:val="32"/>
          <w:lang w:val="en-US" w:eastAsia="zh-CN"/>
        </w:rPr>
        <w:t>符合性分析</w:t>
      </w:r>
      <w:bookmarkEnd w:id="48"/>
    </w:p>
    <w:p w14:paraId="3275EF0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eastAsia" w:ascii="Times New Roman" w:hAnsi="Times New Roman" w:eastAsia="仿宋" w:cs="Times New Roman"/>
          <w:color w:val="auto"/>
          <w:kern w:val="2"/>
          <w:sz w:val="28"/>
          <w:szCs w:val="32"/>
          <w:lang w:val="en-US" w:eastAsia="zh-CN" w:bidi="ar-SA"/>
        </w:rPr>
      </w:pPr>
      <w:r>
        <w:rPr>
          <w:rFonts w:hint="default" w:ascii="Times New Roman" w:hAnsi="Times New Roman" w:eastAsia="仿宋" w:cs="Times New Roman"/>
          <w:color w:val="auto"/>
          <w:kern w:val="2"/>
          <w:sz w:val="28"/>
          <w:szCs w:val="32"/>
          <w:lang w:val="en-US" w:eastAsia="zh-CN" w:bidi="ar-SA"/>
        </w:rPr>
        <w:t>根据《晋城市“三线一单”生态环境分区管控实方案》，</w:t>
      </w:r>
      <w:r>
        <w:rPr>
          <w:rFonts w:hint="eastAsia" w:ascii="Times New Roman" w:hAnsi="Times New Roman" w:eastAsia="仿宋" w:cs="Times New Roman"/>
          <w:color w:val="auto"/>
          <w:kern w:val="2"/>
          <w:sz w:val="28"/>
          <w:szCs w:val="32"/>
          <w:lang w:val="en-US" w:eastAsia="zh-CN" w:bidi="ar-SA"/>
        </w:rPr>
        <w:t>高平市</w:t>
      </w:r>
      <w:r>
        <w:rPr>
          <w:rFonts w:hint="default" w:ascii="Times New Roman" w:hAnsi="Times New Roman" w:eastAsia="仿宋" w:cs="Times New Roman"/>
          <w:color w:val="auto"/>
          <w:kern w:val="2"/>
          <w:sz w:val="28"/>
          <w:szCs w:val="32"/>
          <w:lang w:val="en-US" w:eastAsia="zh-CN" w:bidi="ar-SA"/>
        </w:rPr>
        <w:t>所处区域大部</w:t>
      </w:r>
      <w:r>
        <w:rPr>
          <w:rFonts w:hint="eastAsia" w:ascii="Times New Roman" w:hAnsi="Times New Roman" w:eastAsia="仿宋" w:cs="Times New Roman"/>
          <w:color w:val="auto"/>
          <w:kern w:val="2"/>
          <w:sz w:val="28"/>
          <w:szCs w:val="32"/>
          <w:lang w:val="en-US" w:eastAsia="zh-CN" w:bidi="ar-SA"/>
        </w:rPr>
        <w:t>分</w:t>
      </w:r>
      <w:r>
        <w:rPr>
          <w:rFonts w:hint="default" w:ascii="Times New Roman" w:hAnsi="Times New Roman" w:eastAsia="仿宋" w:cs="Times New Roman"/>
          <w:color w:val="auto"/>
          <w:kern w:val="2"/>
          <w:sz w:val="28"/>
          <w:szCs w:val="32"/>
          <w:lang w:val="en-US" w:eastAsia="zh-CN" w:bidi="ar-SA"/>
        </w:rPr>
        <w:t>在</w:t>
      </w:r>
      <w:r>
        <w:rPr>
          <w:rFonts w:hint="eastAsia" w:ascii="Times New Roman" w:hAnsi="Times New Roman" w:eastAsia="仿宋" w:cs="Times New Roman"/>
          <w:color w:val="auto"/>
          <w:kern w:val="2"/>
          <w:sz w:val="28"/>
          <w:szCs w:val="32"/>
          <w:lang w:val="en-US" w:eastAsia="zh-CN" w:bidi="ar-SA"/>
        </w:rPr>
        <w:t>优先保护单元和重点管控</w:t>
      </w:r>
      <w:r>
        <w:rPr>
          <w:rFonts w:hint="default" w:ascii="Times New Roman" w:hAnsi="Times New Roman" w:eastAsia="仿宋" w:cs="Times New Roman"/>
          <w:color w:val="auto"/>
          <w:kern w:val="2"/>
          <w:sz w:val="28"/>
          <w:szCs w:val="32"/>
          <w:lang w:val="en-US" w:eastAsia="zh-CN" w:bidi="ar-SA"/>
        </w:rPr>
        <w:t>单元内</w:t>
      </w:r>
      <w:r>
        <w:rPr>
          <w:rFonts w:hint="eastAsia" w:ascii="Times New Roman" w:hAnsi="Times New Roman" w:eastAsia="仿宋" w:cs="Times New Roman"/>
          <w:color w:val="auto"/>
          <w:kern w:val="2"/>
          <w:sz w:val="28"/>
          <w:szCs w:val="32"/>
          <w:lang w:val="en-US" w:eastAsia="zh-CN" w:bidi="ar-SA"/>
        </w:rPr>
        <w:t>。</w:t>
      </w:r>
    </w:p>
    <w:p w14:paraId="219AB5E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r>
        <w:rPr>
          <w:rFonts w:hint="eastAsia" w:ascii="Times New Roman" w:hAnsi="Times New Roman" w:eastAsia="仿宋" w:cs="Times New Roman"/>
          <w:color w:val="auto"/>
          <w:kern w:val="2"/>
          <w:sz w:val="28"/>
          <w:szCs w:val="32"/>
          <w:highlight w:val="none"/>
          <w:lang w:val="en-US" w:eastAsia="zh-CN" w:bidi="ar-SA"/>
        </w:rPr>
        <w:t>三线一单方案明确，在重点管控单元内</w:t>
      </w:r>
      <w:r>
        <w:rPr>
          <w:rFonts w:hint="default" w:ascii="Times New Roman" w:hAnsi="Times New Roman" w:eastAsia="仿宋" w:cs="Times New Roman"/>
          <w:color w:val="auto"/>
          <w:kern w:val="2"/>
          <w:sz w:val="28"/>
          <w:szCs w:val="32"/>
          <w:lang w:val="en-US" w:eastAsia="zh-CN" w:bidi="ar-SA"/>
        </w:rPr>
        <w:t>：</w:t>
      </w:r>
      <w:r>
        <w:rPr>
          <w:rFonts w:hint="eastAsia" w:ascii="Times New Roman" w:hAnsi="Times New Roman" w:eastAsia="仿宋" w:cs="Times New Roman"/>
          <w:color w:val="auto"/>
          <w:kern w:val="2"/>
          <w:sz w:val="28"/>
          <w:szCs w:val="32"/>
          <w:highlight w:val="none"/>
          <w:lang w:val="en-US" w:eastAsia="zh-CN" w:bidi="ar-SA"/>
        </w:rPr>
        <w:t>要求进一步优化空间布局，加强污染物排放控制和环境风险防控，不断提升资源能源利用效率，解决生态环境质量不达标、生态环境风险高等问题，发挥减污降碳协同效应。晋城市作为京津冀大气污染联防联控重点区域，要加快调整优化产业结构、能源结构，严禁新增钢铁、焦化、铸造、水泥、平板玻璃等产能，确有必要新建或改造升级的，要严格执行产能置换实施办法。要加快实施城市规划区“两高”企业搬迁，完善能源消费双控制度。实施企业绩效分级分类管控，强化联防联控，持续推进清洁取暖散煤治理，严防“散乱污”企业反弹，积极应对重污染天气。积极推行城镇生活污水处理“厂-网-河（湖）”一体化运营模式，大力推进工业废水近零排放和资源化利用，实施城镇生活再生水资源化分质利用</w:t>
      </w:r>
      <w:r>
        <w:rPr>
          <w:rFonts w:hint="default" w:ascii="Times New Roman" w:hAnsi="Times New Roman" w:eastAsia="仿宋" w:cs="Times New Roman"/>
          <w:color w:val="auto"/>
          <w:kern w:val="2"/>
          <w:sz w:val="28"/>
          <w:szCs w:val="32"/>
          <w:lang w:val="en-US" w:eastAsia="zh-CN" w:bidi="ar-SA"/>
        </w:rPr>
        <w:t>。</w:t>
      </w:r>
    </w:p>
    <w:p w14:paraId="133F418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firstLineChars="200"/>
        <w:jc w:val="both"/>
        <w:textAlignment w:val="auto"/>
        <w:rPr>
          <w:rFonts w:hint="default" w:ascii="Times New Roman" w:hAnsi="Times New Roman" w:eastAsia="仿宋" w:cs="Times New Roman"/>
          <w:color w:val="auto"/>
          <w:kern w:val="2"/>
          <w:sz w:val="28"/>
          <w:szCs w:val="32"/>
          <w:lang w:val="en-US" w:eastAsia="zh-CN" w:bidi="ar-SA"/>
        </w:rPr>
      </w:pPr>
      <w:r>
        <w:rPr>
          <w:rFonts w:hint="default" w:ascii="Times New Roman" w:hAnsi="Times New Roman" w:eastAsia="仿宋" w:cs="Times New Roman"/>
          <w:color w:val="auto"/>
          <w:kern w:val="2"/>
          <w:sz w:val="28"/>
          <w:szCs w:val="32"/>
          <w:highlight w:val="none"/>
          <w:lang w:val="en-US" w:eastAsia="zh-CN" w:bidi="ar-SA"/>
        </w:rPr>
        <w:t>在</w:t>
      </w:r>
      <w:r>
        <w:rPr>
          <w:rFonts w:hint="eastAsia" w:ascii="Times New Roman" w:hAnsi="Times New Roman" w:eastAsia="仿宋" w:cs="Times New Roman"/>
          <w:color w:val="auto"/>
          <w:kern w:val="2"/>
          <w:sz w:val="28"/>
          <w:szCs w:val="32"/>
          <w:highlight w:val="none"/>
          <w:lang w:val="en-US" w:eastAsia="zh-CN" w:bidi="ar-SA"/>
        </w:rPr>
        <w:t>优先保护</w:t>
      </w:r>
      <w:r>
        <w:rPr>
          <w:rFonts w:hint="default" w:ascii="Times New Roman" w:hAnsi="Times New Roman" w:eastAsia="仿宋" w:cs="Times New Roman"/>
          <w:color w:val="auto"/>
          <w:kern w:val="2"/>
          <w:sz w:val="28"/>
          <w:szCs w:val="32"/>
          <w:highlight w:val="none"/>
          <w:lang w:val="en-US" w:eastAsia="zh-CN" w:bidi="ar-SA"/>
        </w:rPr>
        <w:t>单元内：要求依法禁止或限制大规模、高强度的工业和城镇开发建设</w:t>
      </w:r>
      <w:r>
        <w:rPr>
          <w:rFonts w:hint="eastAsia" w:ascii="Times New Roman" w:hAnsi="Times New Roman" w:eastAsia="仿宋" w:cs="Times New Roman"/>
          <w:color w:val="auto"/>
          <w:kern w:val="2"/>
          <w:sz w:val="28"/>
          <w:szCs w:val="32"/>
          <w:highlight w:val="none"/>
          <w:lang w:val="en-US" w:eastAsia="zh-CN" w:bidi="ar-SA"/>
        </w:rPr>
        <w:t>，</w:t>
      </w:r>
      <w:r>
        <w:rPr>
          <w:rFonts w:hint="default" w:ascii="Times New Roman" w:hAnsi="Times New Roman" w:eastAsia="仿宋" w:cs="Times New Roman"/>
          <w:color w:val="auto"/>
          <w:kern w:val="2"/>
          <w:sz w:val="28"/>
          <w:szCs w:val="32"/>
          <w:highlight w:val="none"/>
          <w:lang w:val="en-US" w:eastAsia="zh-CN" w:bidi="ar-SA"/>
        </w:rPr>
        <w:t>在功能受损的优先保护单元优先开展生态保护修复活动，恢复生态系统服务功能。加强生态保护红线和重要生态空间的保护，依法禁止或限制大规模开发，严格矿山开采等产业准入，加强矿区的生态治理与修复，加强煤层气开采过程中的生态保护和修复，提高水源涵养能力，保护森林生态系统，有效减少泥沙入河。在沁河和丹河谷地以及人居环境敏感区，严控重污染行业产能规模，推进产业布局与生态空间协调发展。</w:t>
      </w:r>
    </w:p>
    <w:p w14:paraId="6523F6D0">
      <w:pPr>
        <w:spacing w:line="240" w:lineRule="auto"/>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color w:val="auto"/>
          <w:kern w:val="2"/>
          <w:sz w:val="28"/>
          <w:szCs w:val="32"/>
          <w:lang w:val="en-US" w:eastAsia="zh-CN" w:bidi="ar-SA"/>
        </w:rPr>
        <w:t>本方案符合《山西省自然资源厅关于印发〈山西省土地征收成片开发标准实施细则的通知》第十六条“符合生态环境三线一单”的管控要求。</w:t>
      </w:r>
    </w:p>
    <w:p w14:paraId="6E122A9D">
      <w:pPr>
        <w:pStyle w:val="3"/>
        <w:numPr>
          <w:ilvl w:val="1"/>
          <w:numId w:val="0"/>
        </w:numPr>
        <w:tabs>
          <w:tab w:val="clear" w:pos="420"/>
        </w:tabs>
        <w:bidi w:val="0"/>
        <w:ind w:left="575" w:leftChars="0" w:hanging="575" w:firstLineChars="0"/>
        <w:rPr>
          <w:rFonts w:hint="default"/>
          <w:sz w:val="32"/>
          <w:szCs w:val="32"/>
        </w:rPr>
      </w:pPr>
      <w:bookmarkStart w:id="49" w:name="_Toc16072"/>
      <w:bookmarkStart w:id="50" w:name="_Toc5"/>
      <w:bookmarkStart w:id="51" w:name="_Toc29770"/>
      <w:bookmarkStart w:id="52" w:name="_Toc25464"/>
      <w:r>
        <w:rPr>
          <w:rFonts w:hint="eastAsia" w:ascii="Times New Roman" w:hAnsi="Times New Roman" w:eastAsia="仿宋" w:cs="Times New Roman"/>
          <w:b/>
          <w:bCs/>
          <w:kern w:val="2"/>
          <w:sz w:val="32"/>
          <w:szCs w:val="32"/>
          <w:lang w:val="en-US" w:eastAsia="zh-CN"/>
        </w:rPr>
        <w:t>6.</w:t>
      </w:r>
      <w:r>
        <w:rPr>
          <w:rFonts w:hint="eastAsia" w:cs="Times New Roman"/>
          <w:b/>
          <w:bCs/>
          <w:kern w:val="2"/>
          <w:sz w:val="32"/>
          <w:szCs w:val="32"/>
          <w:lang w:val="en-US" w:eastAsia="zh-CN"/>
        </w:rPr>
        <w:t>4</w:t>
      </w:r>
      <w:r>
        <w:rPr>
          <w:rFonts w:hint="eastAsia" w:ascii="Times New Roman" w:hAnsi="Times New Roman" w:eastAsia="仿宋" w:cs="Times New Roman"/>
          <w:b/>
          <w:bCs/>
          <w:kern w:val="2"/>
          <w:sz w:val="32"/>
          <w:szCs w:val="32"/>
          <w:lang w:val="en-US" w:eastAsia="zh-CN"/>
        </w:rPr>
        <w:t>.</w:t>
      </w:r>
      <w:r>
        <w:rPr>
          <w:rFonts w:hint="default"/>
          <w:sz w:val="32"/>
          <w:szCs w:val="32"/>
        </w:rPr>
        <w:t>公益性用地比例</w:t>
      </w:r>
      <w:bookmarkEnd w:id="49"/>
    </w:p>
    <w:p w14:paraId="726B70DB">
      <w:pPr>
        <w:spacing w:line="240" w:lineRule="auto"/>
        <w:ind w:firstLine="640"/>
        <w:rPr>
          <w:rFonts w:hint="eastAsia" w:ascii="Times New Roman" w:hAnsi="Times New Roman" w:eastAsia="仿宋" w:cs="Times New Roman"/>
          <w:sz w:val="28"/>
          <w:szCs w:val="32"/>
          <w:highlight w:val="none"/>
          <w:lang w:val="en-US" w:eastAsia="zh-CN" w:bidi="ar-SA"/>
        </w:rPr>
      </w:pPr>
      <w:bookmarkStart w:id="53" w:name="_Hlk98753460"/>
      <w:r>
        <w:rPr>
          <w:rFonts w:hint="eastAsia" w:ascii="Times New Roman" w:hAnsi="Times New Roman" w:eastAsia="仿宋" w:cs="Times New Roman"/>
          <w:sz w:val="28"/>
          <w:szCs w:val="32"/>
          <w:highlight w:val="none"/>
          <w:lang w:val="en-US" w:eastAsia="zh-CN" w:bidi="ar-SA"/>
        </w:rPr>
        <w:t>本方案</w:t>
      </w:r>
      <w:r>
        <w:rPr>
          <w:rFonts w:hint="default" w:ascii="Times New Roman" w:hAnsi="Times New Roman" w:eastAsia="仿宋" w:cs="Times New Roman"/>
          <w:sz w:val="28"/>
          <w:szCs w:val="32"/>
          <w:highlight w:val="none"/>
          <w:lang w:val="en-US" w:eastAsia="zh-CN" w:bidi="ar-SA"/>
        </w:rPr>
        <w:t>片区面积</w:t>
      </w:r>
      <w:r>
        <w:rPr>
          <w:rFonts w:hint="eastAsia" w:ascii="Times New Roman" w:hAnsi="Times New Roman" w:eastAsia="仿宋" w:cs="Times New Roman"/>
          <w:sz w:val="28"/>
          <w:szCs w:val="32"/>
          <w:highlight w:val="none"/>
          <w:lang w:val="en-US" w:eastAsia="zh-CN" w:bidi="ar-SA"/>
        </w:rPr>
        <w:t>66.0992</w:t>
      </w:r>
      <w:r>
        <w:rPr>
          <w:rFonts w:hint="default" w:ascii="Times New Roman" w:hAnsi="Times New Roman" w:eastAsia="仿宋" w:cs="Times New Roman"/>
          <w:sz w:val="28"/>
          <w:szCs w:val="32"/>
          <w:highlight w:val="none"/>
          <w:lang w:val="en-US" w:eastAsia="zh-CN" w:bidi="ar-SA"/>
        </w:rPr>
        <w:t>公顷</w:t>
      </w:r>
      <w:r>
        <w:rPr>
          <w:rFonts w:hint="eastAsia" w:ascii="Times New Roman" w:hAnsi="Times New Roman" w:eastAsia="仿宋" w:cs="Times New Roman"/>
          <w:sz w:val="28"/>
          <w:szCs w:val="32"/>
          <w:highlight w:val="none"/>
          <w:lang w:val="en-US" w:eastAsia="zh-CN" w:bidi="ar-SA"/>
        </w:rPr>
        <w:t>，公共管理与公共服务用地、公用设施用地、交通运输用地、绿地与开敞空间用地等公益性用地21.4593公顷，</w:t>
      </w:r>
      <w:r>
        <w:rPr>
          <w:rFonts w:hint="eastAsia" w:ascii="Times New Roman" w:hAnsi="Times New Roman" w:eastAsia="仿宋" w:cs="Times New Roman"/>
          <w:color w:val="auto"/>
          <w:sz w:val="28"/>
          <w:szCs w:val="32"/>
          <w:highlight w:val="none"/>
          <w:lang w:val="en-US" w:eastAsia="zh-CN" w:bidi="ar-SA"/>
        </w:rPr>
        <w:t>高平市经济技术开发区成片开发范围内公益性用地比例为29.13%，开发区成片开发范围外公益性用地比例为48.16</w:t>
      </w:r>
      <w:r>
        <w:rPr>
          <w:rFonts w:hint="eastAsia" w:ascii="Times New Roman" w:hAnsi="Times New Roman" w:eastAsia="仿宋" w:cs="Times New Roman"/>
          <w:sz w:val="28"/>
          <w:szCs w:val="32"/>
          <w:highlight w:val="none"/>
          <w:lang w:val="en-US" w:eastAsia="zh-CN" w:bidi="ar-SA"/>
        </w:rPr>
        <w:t>%，满足</w:t>
      </w:r>
      <w:r>
        <w:rPr>
          <w:rFonts w:hint="default" w:ascii="Times New Roman" w:hAnsi="Times New Roman" w:eastAsia="仿宋" w:cs="Times New Roman"/>
          <w:sz w:val="28"/>
          <w:szCs w:val="32"/>
          <w:highlight w:val="none"/>
          <w:lang w:eastAsia="zh-CN" w:bidi="ar-SA"/>
        </w:rPr>
        <w:t>《山西省土地征收成片开发标准实施细则》（晋自然资发〔2024〕18号）</w:t>
      </w:r>
      <w:r>
        <w:rPr>
          <w:rFonts w:hint="eastAsia" w:ascii="Times New Roman" w:hAnsi="Times New Roman" w:eastAsia="仿宋" w:cs="Times New Roman"/>
          <w:sz w:val="28"/>
          <w:szCs w:val="32"/>
          <w:highlight w:val="none"/>
          <w:lang w:val="en-US" w:eastAsia="zh-CN" w:bidi="ar-SA"/>
        </w:rPr>
        <w:t>对公益性用地比例的要求</w:t>
      </w:r>
      <w:r>
        <w:rPr>
          <w:rFonts w:hint="default" w:ascii="Times New Roman" w:hAnsi="Times New Roman" w:eastAsia="仿宋" w:cs="Times New Roman"/>
          <w:sz w:val="28"/>
          <w:szCs w:val="32"/>
          <w:highlight w:val="none"/>
          <w:lang w:val="en-US" w:eastAsia="zh-CN" w:bidi="ar-SA"/>
        </w:rPr>
        <w:t>。</w:t>
      </w:r>
      <w:r>
        <w:rPr>
          <w:rFonts w:hint="eastAsia" w:ascii="Times New Roman" w:hAnsi="Times New Roman" w:eastAsia="仿宋" w:cs="Times New Roman"/>
          <w:sz w:val="28"/>
          <w:szCs w:val="32"/>
          <w:highlight w:val="none"/>
          <w:lang w:val="en-US" w:eastAsia="zh-CN" w:bidi="ar-SA"/>
        </w:rPr>
        <w:t>见下表6-1。</w:t>
      </w:r>
    </w:p>
    <w:p w14:paraId="385CD277">
      <w:pPr>
        <w:spacing w:line="240" w:lineRule="auto"/>
        <w:ind w:firstLine="640"/>
        <w:rPr>
          <w:rFonts w:hint="default" w:ascii="Times New Roman" w:hAnsi="Times New Roman" w:eastAsia="仿宋" w:cs="Times New Roman"/>
          <w:sz w:val="28"/>
          <w:szCs w:val="32"/>
          <w:highlight w:val="none"/>
          <w:lang w:val="en-US" w:eastAsia="zh-CN" w:bidi="ar-SA"/>
        </w:rPr>
        <w:sectPr>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pPr>
    </w:p>
    <w:bookmarkEnd w:id="53"/>
    <w:p w14:paraId="1CA1D4F0">
      <w:pPr>
        <w:spacing w:line="240" w:lineRule="auto"/>
        <w:jc w:val="center"/>
        <w:rPr>
          <w:rFonts w:hint="default" w:ascii="Times New Roman" w:hAnsi="Times New Roman" w:eastAsia="仿宋" w:cs="Times New Roman"/>
          <w:sz w:val="24"/>
          <w:szCs w:val="24"/>
          <w:lang w:bidi="ar-SA"/>
        </w:rPr>
      </w:pPr>
      <w:r>
        <w:rPr>
          <w:rFonts w:hint="default" w:ascii="Times New Roman" w:hAnsi="Times New Roman" w:eastAsia="仿宋" w:cs="Times New Roman"/>
          <w:sz w:val="24"/>
          <w:szCs w:val="24"/>
          <w:lang w:bidi="ar-SA"/>
        </w:rPr>
        <w:t>表</w:t>
      </w:r>
      <w:r>
        <w:rPr>
          <w:rFonts w:hint="eastAsia" w:ascii="Times New Roman" w:hAnsi="Times New Roman" w:eastAsia="仿宋" w:cs="Times New Roman"/>
          <w:sz w:val="24"/>
          <w:szCs w:val="24"/>
          <w:lang w:val="en-US" w:eastAsia="zh-CN" w:bidi="ar-SA"/>
        </w:rPr>
        <w:t>6</w:t>
      </w:r>
      <w:r>
        <w:rPr>
          <w:rFonts w:hint="default" w:ascii="Times New Roman" w:hAnsi="Times New Roman" w:eastAsia="仿宋" w:cs="Times New Roman"/>
          <w:sz w:val="24"/>
          <w:szCs w:val="24"/>
          <w:lang w:bidi="ar-SA"/>
        </w:rPr>
        <w:t>-</w:t>
      </w:r>
      <w:r>
        <w:rPr>
          <w:rFonts w:hint="eastAsia" w:ascii="Times New Roman" w:hAnsi="Times New Roman" w:eastAsia="仿宋" w:cs="Times New Roman"/>
          <w:sz w:val="24"/>
          <w:szCs w:val="24"/>
          <w:lang w:val="en-US" w:eastAsia="zh-CN" w:bidi="ar-SA"/>
        </w:rPr>
        <w:t xml:space="preserve">1 </w:t>
      </w:r>
      <w:r>
        <w:rPr>
          <w:rFonts w:hint="default" w:ascii="Times New Roman" w:hAnsi="Times New Roman" w:eastAsia="仿宋" w:cs="Times New Roman"/>
          <w:sz w:val="24"/>
          <w:szCs w:val="24"/>
          <w:lang w:val="en-US" w:eastAsia="zh-CN" w:bidi="ar-SA"/>
        </w:rPr>
        <w:t>公益</w:t>
      </w:r>
      <w:r>
        <w:rPr>
          <w:rFonts w:hint="eastAsia" w:ascii="Times New Roman" w:hAnsi="Times New Roman" w:eastAsia="仿宋" w:cs="Times New Roman"/>
          <w:sz w:val="24"/>
          <w:szCs w:val="24"/>
          <w:lang w:val="en-US" w:eastAsia="zh-CN" w:bidi="ar-SA"/>
        </w:rPr>
        <w:t>性</w:t>
      </w:r>
      <w:r>
        <w:rPr>
          <w:rFonts w:hint="default" w:ascii="Times New Roman" w:hAnsi="Times New Roman" w:eastAsia="仿宋" w:cs="Times New Roman"/>
          <w:sz w:val="24"/>
          <w:szCs w:val="24"/>
          <w:lang w:val="en-US" w:eastAsia="zh-CN" w:bidi="ar-SA"/>
        </w:rPr>
        <w:t>用地</w:t>
      </w:r>
      <w:r>
        <w:rPr>
          <w:rFonts w:hint="default" w:ascii="Times New Roman" w:hAnsi="Times New Roman" w:eastAsia="仿宋" w:cs="Times New Roman"/>
          <w:sz w:val="24"/>
          <w:szCs w:val="24"/>
          <w:lang w:bidi="ar-SA"/>
        </w:rPr>
        <w:t>情况</w:t>
      </w:r>
    </w:p>
    <w:p w14:paraId="041EB548">
      <w:pPr>
        <w:spacing w:line="240" w:lineRule="auto"/>
        <w:jc w:val="righ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（单位：公顷</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758"/>
        <w:gridCol w:w="2159"/>
        <w:gridCol w:w="933"/>
        <w:gridCol w:w="808"/>
        <w:gridCol w:w="705"/>
        <w:gridCol w:w="720"/>
        <w:gridCol w:w="948"/>
        <w:gridCol w:w="762"/>
        <w:gridCol w:w="928"/>
        <w:gridCol w:w="632"/>
        <w:gridCol w:w="585"/>
        <w:gridCol w:w="510"/>
        <w:gridCol w:w="1035"/>
        <w:gridCol w:w="1121"/>
        <w:gridCol w:w="978"/>
      </w:tblGrid>
      <w:tr w14:paraId="16CC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8" w:type="pct"/>
            <w:vMerge w:val="restart"/>
            <w:tcBorders>
              <w:top w:val="single" w:color="000000" w:sz="8" w:space="0"/>
              <w:left w:val="single" w:color="000000" w:sz="8" w:space="0"/>
              <w:right w:val="single" w:color="000000" w:sz="8" w:space="0"/>
            </w:tcBorders>
            <w:shd w:val="clear" w:color="auto" w:fill="auto"/>
            <w:noWrap/>
            <w:vAlign w:val="center"/>
          </w:tcPr>
          <w:p w14:paraId="301DE7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类型</w:t>
            </w:r>
          </w:p>
        </w:tc>
        <w:tc>
          <w:tcPr>
            <w:tcW w:w="267" w:type="pct"/>
            <w:vMerge w:val="restart"/>
            <w:tcBorders>
              <w:top w:val="single" w:color="000000" w:sz="8" w:space="0"/>
              <w:left w:val="nil"/>
              <w:right w:val="single" w:color="000000" w:sz="8" w:space="0"/>
            </w:tcBorders>
            <w:shd w:val="clear" w:color="auto" w:fill="auto"/>
            <w:noWrap/>
            <w:vAlign w:val="center"/>
          </w:tcPr>
          <w:p w14:paraId="621D704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片区编号</w:t>
            </w:r>
          </w:p>
        </w:tc>
        <w:tc>
          <w:tcPr>
            <w:tcW w:w="761" w:type="pct"/>
            <w:vMerge w:val="restart"/>
            <w:tcBorders>
              <w:top w:val="single" w:color="000000" w:sz="8" w:space="0"/>
              <w:left w:val="nil"/>
              <w:right w:val="single" w:color="000000" w:sz="8" w:space="0"/>
            </w:tcBorders>
            <w:shd w:val="clear" w:color="auto" w:fill="auto"/>
            <w:noWrap/>
            <w:vAlign w:val="center"/>
          </w:tcPr>
          <w:p w14:paraId="516F35C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片区名称</w:t>
            </w:r>
          </w:p>
        </w:tc>
        <w:tc>
          <w:tcPr>
            <w:tcW w:w="2656" w:type="pct"/>
            <w:gridSpan w:val="10"/>
            <w:tcBorders>
              <w:top w:val="single" w:color="000000" w:sz="8" w:space="0"/>
              <w:left w:val="nil"/>
              <w:bottom w:val="single" w:color="000000" w:sz="8" w:space="0"/>
              <w:right w:val="single" w:color="000000" w:sz="8" w:space="0"/>
            </w:tcBorders>
            <w:shd w:val="clear" w:color="auto" w:fill="auto"/>
            <w:noWrap/>
            <w:vAlign w:val="center"/>
          </w:tcPr>
          <w:p w14:paraId="305E05D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公益用地</w:t>
            </w:r>
          </w:p>
        </w:tc>
        <w:tc>
          <w:tcPr>
            <w:tcW w:w="365" w:type="pct"/>
            <w:vMerge w:val="restart"/>
            <w:tcBorders>
              <w:top w:val="single" w:color="000000" w:sz="8" w:space="0"/>
              <w:left w:val="nil"/>
              <w:right w:val="single" w:color="000000" w:sz="8" w:space="0"/>
            </w:tcBorders>
            <w:shd w:val="clear" w:color="auto" w:fill="auto"/>
            <w:noWrap/>
            <w:vAlign w:val="center"/>
          </w:tcPr>
          <w:p w14:paraId="232368B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95" w:type="pct"/>
            <w:vMerge w:val="restart"/>
            <w:tcBorders>
              <w:top w:val="single" w:color="000000" w:sz="8" w:space="0"/>
              <w:left w:val="nil"/>
              <w:right w:val="single" w:color="000000" w:sz="8" w:space="0"/>
            </w:tcBorders>
            <w:shd w:val="clear" w:color="auto" w:fill="auto"/>
            <w:noWrap/>
            <w:vAlign w:val="center"/>
          </w:tcPr>
          <w:p w14:paraId="1D81317F">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片区面积</w:t>
            </w:r>
          </w:p>
        </w:tc>
        <w:tc>
          <w:tcPr>
            <w:tcW w:w="344" w:type="pct"/>
            <w:vMerge w:val="restart"/>
            <w:tcBorders>
              <w:top w:val="single" w:color="000000" w:sz="8" w:space="0"/>
              <w:left w:val="nil"/>
              <w:right w:val="single" w:color="000000" w:sz="8" w:space="0"/>
            </w:tcBorders>
            <w:shd w:val="clear" w:color="auto" w:fill="auto"/>
            <w:noWrap/>
            <w:vAlign w:val="center"/>
          </w:tcPr>
          <w:p w14:paraId="20970BA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公益比例</w:t>
            </w:r>
          </w:p>
        </w:tc>
      </w:tr>
      <w:tr w14:paraId="435E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8" w:type="pct"/>
            <w:vMerge w:val="continue"/>
            <w:tcBorders>
              <w:left w:val="single" w:color="000000" w:sz="8" w:space="0"/>
              <w:right w:val="single" w:color="000000" w:sz="8" w:space="0"/>
            </w:tcBorders>
            <w:shd w:val="clear" w:color="auto" w:fill="auto"/>
            <w:noWrap/>
            <w:vAlign w:val="center"/>
          </w:tcPr>
          <w:p w14:paraId="28DB08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vMerge w:val="continue"/>
            <w:tcBorders>
              <w:left w:val="nil"/>
              <w:right w:val="single" w:color="000000" w:sz="8" w:space="0"/>
            </w:tcBorders>
            <w:shd w:val="clear" w:color="auto" w:fill="auto"/>
            <w:noWrap/>
            <w:vAlign w:val="center"/>
          </w:tcPr>
          <w:p w14:paraId="102AD6D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61" w:type="pct"/>
            <w:vMerge w:val="continue"/>
            <w:tcBorders>
              <w:left w:val="nil"/>
              <w:right w:val="single" w:color="000000" w:sz="8" w:space="0"/>
            </w:tcBorders>
            <w:shd w:val="clear" w:color="auto" w:fill="auto"/>
            <w:noWrap/>
            <w:vAlign w:val="center"/>
          </w:tcPr>
          <w:p w14:paraId="680ED8D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614" w:type="pct"/>
            <w:gridSpan w:val="2"/>
            <w:tcBorders>
              <w:top w:val="nil"/>
              <w:left w:val="nil"/>
              <w:bottom w:val="single" w:color="000000" w:sz="8" w:space="0"/>
              <w:right w:val="single" w:color="000000" w:sz="8" w:space="0"/>
            </w:tcBorders>
            <w:shd w:val="clear" w:color="auto" w:fill="auto"/>
            <w:noWrap/>
            <w:vAlign w:val="center"/>
          </w:tcPr>
          <w:p w14:paraId="4C57B55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公共管理与公共服务用地</w:t>
            </w:r>
          </w:p>
        </w:tc>
        <w:tc>
          <w:tcPr>
            <w:tcW w:w="502" w:type="pct"/>
            <w:gridSpan w:val="2"/>
            <w:tcBorders>
              <w:top w:val="nil"/>
              <w:left w:val="nil"/>
              <w:bottom w:val="single" w:color="000000" w:sz="8" w:space="0"/>
              <w:right w:val="single" w:color="000000" w:sz="8" w:space="0"/>
            </w:tcBorders>
            <w:shd w:val="clear" w:color="auto" w:fill="auto"/>
            <w:noWrap/>
            <w:vAlign w:val="center"/>
          </w:tcPr>
          <w:p w14:paraId="5176424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公用设施用地</w:t>
            </w:r>
          </w:p>
        </w:tc>
        <w:tc>
          <w:tcPr>
            <w:tcW w:w="603" w:type="pct"/>
            <w:gridSpan w:val="2"/>
            <w:tcBorders>
              <w:top w:val="nil"/>
              <w:left w:val="nil"/>
              <w:bottom w:val="single" w:color="000000" w:sz="8" w:space="0"/>
              <w:right w:val="single" w:color="000000" w:sz="8" w:space="0"/>
            </w:tcBorders>
            <w:shd w:val="clear" w:color="auto" w:fill="auto"/>
            <w:noWrap/>
            <w:vAlign w:val="center"/>
          </w:tcPr>
          <w:p w14:paraId="4E04029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交通运输用地</w:t>
            </w:r>
          </w:p>
        </w:tc>
        <w:tc>
          <w:tcPr>
            <w:tcW w:w="550" w:type="pct"/>
            <w:gridSpan w:val="2"/>
            <w:tcBorders>
              <w:top w:val="nil"/>
              <w:left w:val="nil"/>
              <w:bottom w:val="single" w:color="000000" w:sz="8" w:space="0"/>
              <w:right w:val="single" w:color="000000" w:sz="8" w:space="0"/>
            </w:tcBorders>
            <w:shd w:val="clear" w:color="auto" w:fill="auto"/>
            <w:noWrap/>
            <w:vAlign w:val="center"/>
          </w:tcPr>
          <w:p w14:paraId="4820CF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绿地与开敞空间用地</w:t>
            </w:r>
          </w:p>
        </w:tc>
        <w:tc>
          <w:tcPr>
            <w:tcW w:w="386" w:type="pct"/>
            <w:gridSpan w:val="2"/>
            <w:tcBorders>
              <w:top w:val="nil"/>
              <w:left w:val="nil"/>
              <w:bottom w:val="single" w:color="000000" w:sz="8" w:space="0"/>
              <w:right w:val="single" w:color="000000" w:sz="8" w:space="0"/>
            </w:tcBorders>
            <w:shd w:val="clear" w:color="auto" w:fill="auto"/>
            <w:noWrap/>
            <w:vAlign w:val="center"/>
          </w:tcPr>
          <w:p w14:paraId="518ED030">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特殊用地</w:t>
            </w:r>
          </w:p>
        </w:tc>
        <w:tc>
          <w:tcPr>
            <w:tcW w:w="365" w:type="pct"/>
            <w:vMerge w:val="continue"/>
            <w:tcBorders>
              <w:left w:val="nil"/>
              <w:right w:val="single" w:color="000000" w:sz="8" w:space="0"/>
            </w:tcBorders>
            <w:shd w:val="clear" w:color="auto" w:fill="auto"/>
            <w:noWrap/>
            <w:vAlign w:val="center"/>
          </w:tcPr>
          <w:p w14:paraId="34B24ED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5" w:type="pct"/>
            <w:vMerge w:val="continue"/>
            <w:tcBorders>
              <w:left w:val="nil"/>
              <w:right w:val="single" w:color="000000" w:sz="8" w:space="0"/>
            </w:tcBorders>
            <w:shd w:val="clear" w:color="auto" w:fill="auto"/>
            <w:noWrap/>
            <w:vAlign w:val="center"/>
          </w:tcPr>
          <w:p w14:paraId="7D0F44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44" w:type="pct"/>
            <w:vMerge w:val="continue"/>
            <w:tcBorders>
              <w:left w:val="nil"/>
              <w:right w:val="single" w:color="000000" w:sz="8" w:space="0"/>
            </w:tcBorders>
            <w:shd w:val="clear" w:color="auto" w:fill="auto"/>
            <w:noWrap/>
            <w:vAlign w:val="center"/>
          </w:tcPr>
          <w:p w14:paraId="6D2B1AE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7023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bottom w:val="single" w:color="000000" w:sz="8" w:space="0"/>
              <w:right w:val="single" w:color="000000" w:sz="8" w:space="0"/>
            </w:tcBorders>
            <w:shd w:val="clear" w:color="auto" w:fill="auto"/>
            <w:noWrap/>
            <w:vAlign w:val="center"/>
          </w:tcPr>
          <w:p w14:paraId="002EAA7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vMerge w:val="continue"/>
            <w:tcBorders>
              <w:left w:val="nil"/>
              <w:bottom w:val="single" w:color="000000" w:sz="8" w:space="0"/>
              <w:right w:val="single" w:color="000000" w:sz="8" w:space="0"/>
            </w:tcBorders>
            <w:shd w:val="clear" w:color="auto" w:fill="auto"/>
            <w:noWrap/>
            <w:vAlign w:val="center"/>
          </w:tcPr>
          <w:p w14:paraId="7B4FD70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61" w:type="pct"/>
            <w:vMerge w:val="continue"/>
            <w:tcBorders>
              <w:left w:val="nil"/>
              <w:bottom w:val="single" w:color="000000" w:sz="8" w:space="0"/>
              <w:right w:val="single" w:color="000000" w:sz="8" w:space="0"/>
            </w:tcBorders>
            <w:shd w:val="clear" w:color="auto" w:fill="auto"/>
            <w:noWrap/>
            <w:vAlign w:val="center"/>
          </w:tcPr>
          <w:p w14:paraId="223E85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29" w:type="pct"/>
            <w:tcBorders>
              <w:top w:val="nil"/>
              <w:left w:val="nil"/>
              <w:bottom w:val="single" w:color="000000" w:sz="8" w:space="0"/>
              <w:right w:val="single" w:color="000000" w:sz="8" w:space="0"/>
            </w:tcBorders>
            <w:shd w:val="clear" w:color="auto" w:fill="auto"/>
            <w:noWrap/>
            <w:vAlign w:val="center"/>
          </w:tcPr>
          <w:p w14:paraId="2898ACC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85" w:type="pct"/>
            <w:tcBorders>
              <w:top w:val="nil"/>
              <w:left w:val="nil"/>
              <w:bottom w:val="single" w:color="000000" w:sz="8" w:space="0"/>
              <w:right w:val="single" w:color="000000" w:sz="8" w:space="0"/>
            </w:tcBorders>
            <w:shd w:val="clear" w:color="auto" w:fill="auto"/>
            <w:noWrap/>
            <w:vAlign w:val="center"/>
          </w:tcPr>
          <w:p w14:paraId="0A293C9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248" w:type="pct"/>
            <w:tcBorders>
              <w:top w:val="nil"/>
              <w:left w:val="nil"/>
              <w:bottom w:val="single" w:color="000000" w:sz="8" w:space="0"/>
              <w:right w:val="single" w:color="000000" w:sz="8" w:space="0"/>
            </w:tcBorders>
            <w:shd w:val="clear" w:color="auto" w:fill="auto"/>
            <w:noWrap/>
            <w:vAlign w:val="center"/>
          </w:tcPr>
          <w:p w14:paraId="4DBA809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53" w:type="pct"/>
            <w:tcBorders>
              <w:top w:val="nil"/>
              <w:left w:val="nil"/>
              <w:bottom w:val="single" w:color="000000" w:sz="8" w:space="0"/>
              <w:right w:val="single" w:color="000000" w:sz="8" w:space="0"/>
            </w:tcBorders>
            <w:shd w:val="clear" w:color="auto" w:fill="auto"/>
            <w:noWrap/>
            <w:vAlign w:val="center"/>
          </w:tcPr>
          <w:p w14:paraId="21BDD12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334" w:type="pct"/>
            <w:tcBorders>
              <w:top w:val="nil"/>
              <w:left w:val="nil"/>
              <w:bottom w:val="single" w:color="000000" w:sz="8" w:space="0"/>
              <w:right w:val="single" w:color="000000" w:sz="8" w:space="0"/>
            </w:tcBorders>
            <w:shd w:val="clear" w:color="auto" w:fill="auto"/>
            <w:noWrap/>
            <w:vAlign w:val="center"/>
          </w:tcPr>
          <w:p w14:paraId="37A554C9">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68" w:type="pct"/>
            <w:tcBorders>
              <w:top w:val="nil"/>
              <w:left w:val="nil"/>
              <w:bottom w:val="single" w:color="000000" w:sz="8" w:space="0"/>
              <w:right w:val="single" w:color="000000" w:sz="8" w:space="0"/>
            </w:tcBorders>
            <w:shd w:val="clear" w:color="auto" w:fill="auto"/>
            <w:noWrap/>
            <w:vAlign w:val="center"/>
          </w:tcPr>
          <w:p w14:paraId="718B69C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327" w:type="pct"/>
            <w:tcBorders>
              <w:top w:val="nil"/>
              <w:left w:val="nil"/>
              <w:bottom w:val="single" w:color="000000" w:sz="8" w:space="0"/>
              <w:right w:val="single" w:color="000000" w:sz="8" w:space="0"/>
            </w:tcBorders>
            <w:shd w:val="clear" w:color="auto" w:fill="auto"/>
            <w:noWrap/>
            <w:vAlign w:val="center"/>
          </w:tcPr>
          <w:p w14:paraId="1E61239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222" w:type="pct"/>
            <w:tcBorders>
              <w:top w:val="nil"/>
              <w:left w:val="nil"/>
              <w:bottom w:val="single" w:color="000000" w:sz="8" w:space="0"/>
              <w:right w:val="single" w:color="000000" w:sz="8" w:space="0"/>
            </w:tcBorders>
            <w:shd w:val="clear" w:color="auto" w:fill="auto"/>
            <w:noWrap/>
            <w:vAlign w:val="center"/>
          </w:tcPr>
          <w:p w14:paraId="6F1773F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206" w:type="pct"/>
            <w:tcBorders>
              <w:top w:val="nil"/>
              <w:left w:val="nil"/>
              <w:bottom w:val="single" w:color="000000" w:sz="8" w:space="0"/>
              <w:right w:val="single" w:color="000000" w:sz="8" w:space="0"/>
            </w:tcBorders>
            <w:shd w:val="clear" w:color="auto" w:fill="auto"/>
            <w:noWrap/>
            <w:vAlign w:val="center"/>
          </w:tcPr>
          <w:p w14:paraId="66E9AFA1">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已有</w:t>
            </w:r>
          </w:p>
        </w:tc>
        <w:tc>
          <w:tcPr>
            <w:tcW w:w="179" w:type="pct"/>
            <w:tcBorders>
              <w:top w:val="single" w:color="000000" w:sz="8" w:space="0"/>
              <w:left w:val="nil"/>
              <w:bottom w:val="single" w:color="000000" w:sz="8" w:space="0"/>
              <w:right w:val="single" w:color="000000" w:sz="8" w:space="0"/>
            </w:tcBorders>
            <w:shd w:val="clear" w:color="auto" w:fill="auto"/>
            <w:noWrap/>
            <w:vAlign w:val="center"/>
          </w:tcPr>
          <w:p w14:paraId="63EBCE26">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新增</w:t>
            </w:r>
          </w:p>
        </w:tc>
        <w:tc>
          <w:tcPr>
            <w:tcW w:w="365" w:type="pct"/>
            <w:vMerge w:val="continue"/>
            <w:tcBorders>
              <w:left w:val="nil"/>
              <w:bottom w:val="single" w:color="000000" w:sz="8" w:space="0"/>
              <w:right w:val="single" w:color="000000" w:sz="8" w:space="0"/>
            </w:tcBorders>
            <w:shd w:val="clear" w:color="auto" w:fill="auto"/>
            <w:noWrap/>
            <w:vAlign w:val="center"/>
          </w:tcPr>
          <w:p w14:paraId="4D75039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5" w:type="pct"/>
            <w:vMerge w:val="continue"/>
            <w:tcBorders>
              <w:left w:val="nil"/>
              <w:bottom w:val="single" w:color="000000" w:sz="8" w:space="0"/>
              <w:right w:val="single" w:color="000000" w:sz="8" w:space="0"/>
            </w:tcBorders>
            <w:shd w:val="clear" w:color="auto" w:fill="auto"/>
            <w:noWrap/>
            <w:vAlign w:val="center"/>
          </w:tcPr>
          <w:p w14:paraId="6B86193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44" w:type="pct"/>
            <w:vMerge w:val="continue"/>
            <w:tcBorders>
              <w:left w:val="nil"/>
              <w:bottom w:val="single" w:color="000000" w:sz="8" w:space="0"/>
              <w:right w:val="single" w:color="000000" w:sz="8" w:space="0"/>
            </w:tcBorders>
            <w:shd w:val="clear" w:color="auto" w:fill="auto"/>
            <w:noWrap/>
            <w:vAlign w:val="center"/>
          </w:tcPr>
          <w:p w14:paraId="3256210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1C7E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08" w:type="pct"/>
            <w:vMerge w:val="restart"/>
            <w:tcBorders>
              <w:top w:val="nil"/>
              <w:left w:val="single" w:color="000000" w:sz="8" w:space="0"/>
              <w:right w:val="single" w:color="000000" w:sz="8" w:space="0"/>
            </w:tcBorders>
            <w:shd w:val="clear" w:color="auto" w:fill="auto"/>
            <w:vAlign w:val="center"/>
          </w:tcPr>
          <w:p w14:paraId="488D55A7">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其他成片开发区</w:t>
            </w:r>
          </w:p>
        </w:tc>
        <w:tc>
          <w:tcPr>
            <w:tcW w:w="267" w:type="pct"/>
            <w:tcBorders>
              <w:top w:val="nil"/>
              <w:left w:val="nil"/>
              <w:bottom w:val="single" w:color="000000" w:sz="8" w:space="0"/>
              <w:right w:val="single" w:color="000000" w:sz="8" w:space="0"/>
            </w:tcBorders>
            <w:shd w:val="clear" w:color="auto" w:fill="auto"/>
            <w:noWrap/>
            <w:vAlign w:val="center"/>
          </w:tcPr>
          <w:p w14:paraId="2E2730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761" w:type="pct"/>
            <w:tcBorders>
              <w:top w:val="nil"/>
              <w:left w:val="nil"/>
              <w:bottom w:val="single" w:color="000000" w:sz="8" w:space="0"/>
              <w:right w:val="single" w:color="000000" w:sz="8" w:space="0"/>
            </w:tcBorders>
            <w:shd w:val="clear" w:color="auto" w:fill="auto"/>
            <w:noWrap/>
            <w:vAlign w:val="center"/>
          </w:tcPr>
          <w:p w14:paraId="4D7C611D">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329" w:type="pct"/>
            <w:tcBorders>
              <w:top w:val="nil"/>
              <w:left w:val="nil"/>
              <w:bottom w:val="single" w:color="000000" w:sz="8" w:space="0"/>
              <w:right w:val="single" w:color="000000" w:sz="8" w:space="0"/>
            </w:tcBorders>
            <w:shd w:val="clear" w:color="auto" w:fill="auto"/>
            <w:noWrap/>
            <w:vAlign w:val="center"/>
          </w:tcPr>
          <w:p w14:paraId="4A1BC65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719E7F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3AD904B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3C68230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6592F8A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68723A2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78BF301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33B468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F032A8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2B70200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5C36F78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77B658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0.0009</w:t>
            </w:r>
          </w:p>
        </w:tc>
        <w:tc>
          <w:tcPr>
            <w:tcW w:w="344" w:type="pct"/>
            <w:tcBorders>
              <w:top w:val="nil"/>
              <w:left w:val="nil"/>
              <w:bottom w:val="single" w:color="000000" w:sz="8" w:space="0"/>
              <w:right w:val="single" w:color="000000" w:sz="8" w:space="0"/>
            </w:tcBorders>
            <w:shd w:val="clear" w:color="auto" w:fill="auto"/>
            <w:noWrap/>
            <w:vAlign w:val="center"/>
          </w:tcPr>
          <w:p w14:paraId="323F54A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65B4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710BC38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07A5C45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761" w:type="pct"/>
            <w:tcBorders>
              <w:top w:val="nil"/>
              <w:left w:val="nil"/>
              <w:bottom w:val="single" w:color="000000" w:sz="8" w:space="0"/>
              <w:right w:val="single" w:color="000000" w:sz="8" w:space="0"/>
            </w:tcBorders>
            <w:shd w:val="clear" w:color="auto" w:fill="auto"/>
            <w:noWrap/>
            <w:vAlign w:val="center"/>
          </w:tcPr>
          <w:p w14:paraId="5DB5C642">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329" w:type="pct"/>
            <w:tcBorders>
              <w:top w:val="nil"/>
              <w:left w:val="nil"/>
              <w:bottom w:val="single" w:color="000000" w:sz="8" w:space="0"/>
              <w:right w:val="single" w:color="000000" w:sz="8" w:space="0"/>
            </w:tcBorders>
            <w:shd w:val="clear" w:color="auto" w:fill="auto"/>
            <w:noWrap/>
            <w:vAlign w:val="center"/>
          </w:tcPr>
          <w:p w14:paraId="5DA4311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BFBA1A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2764BCD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53" w:type="pct"/>
            <w:tcBorders>
              <w:top w:val="nil"/>
              <w:left w:val="nil"/>
              <w:bottom w:val="single" w:color="000000" w:sz="8" w:space="0"/>
              <w:right w:val="single" w:color="000000" w:sz="8" w:space="0"/>
            </w:tcBorders>
            <w:shd w:val="clear" w:color="auto" w:fill="auto"/>
            <w:noWrap/>
            <w:vAlign w:val="center"/>
          </w:tcPr>
          <w:p w14:paraId="1A9654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34" w:type="pct"/>
            <w:tcBorders>
              <w:top w:val="nil"/>
              <w:left w:val="nil"/>
              <w:bottom w:val="single" w:color="000000" w:sz="8" w:space="0"/>
              <w:right w:val="single" w:color="000000" w:sz="8" w:space="0"/>
            </w:tcBorders>
            <w:shd w:val="clear" w:color="auto" w:fill="auto"/>
            <w:noWrap/>
            <w:vAlign w:val="center"/>
          </w:tcPr>
          <w:p w14:paraId="035649D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678C4C6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493B00E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2F29BDB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7B7BBA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154B2E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4A7085F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3.1678</w:t>
            </w:r>
          </w:p>
        </w:tc>
        <w:tc>
          <w:tcPr>
            <w:tcW w:w="395" w:type="pct"/>
            <w:tcBorders>
              <w:top w:val="nil"/>
              <w:left w:val="nil"/>
              <w:bottom w:val="single" w:color="000000" w:sz="8" w:space="0"/>
              <w:right w:val="single" w:color="000000" w:sz="8" w:space="0"/>
            </w:tcBorders>
            <w:shd w:val="clear" w:color="auto" w:fill="auto"/>
            <w:noWrap/>
            <w:vAlign w:val="center"/>
          </w:tcPr>
          <w:p w14:paraId="53DD7B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3.1678</w:t>
            </w:r>
          </w:p>
        </w:tc>
        <w:tc>
          <w:tcPr>
            <w:tcW w:w="344" w:type="pct"/>
            <w:tcBorders>
              <w:top w:val="nil"/>
              <w:left w:val="nil"/>
              <w:bottom w:val="single" w:color="000000" w:sz="8" w:space="0"/>
              <w:right w:val="single" w:color="000000" w:sz="8" w:space="0"/>
            </w:tcBorders>
            <w:shd w:val="clear" w:color="auto" w:fill="auto"/>
            <w:noWrap/>
            <w:vAlign w:val="center"/>
          </w:tcPr>
          <w:p w14:paraId="250682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100.00</w:t>
            </w:r>
          </w:p>
        </w:tc>
      </w:tr>
      <w:tr w14:paraId="23C8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69866DA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3EBA514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761" w:type="pct"/>
            <w:tcBorders>
              <w:top w:val="nil"/>
              <w:left w:val="nil"/>
              <w:bottom w:val="single" w:color="000000" w:sz="8" w:space="0"/>
              <w:right w:val="single" w:color="000000" w:sz="8" w:space="0"/>
            </w:tcBorders>
            <w:shd w:val="clear" w:color="auto" w:fill="auto"/>
            <w:noWrap/>
            <w:vAlign w:val="center"/>
          </w:tcPr>
          <w:p w14:paraId="537EED9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高铁新区A片区</w:t>
            </w:r>
          </w:p>
        </w:tc>
        <w:tc>
          <w:tcPr>
            <w:tcW w:w="329" w:type="pct"/>
            <w:tcBorders>
              <w:top w:val="nil"/>
              <w:left w:val="nil"/>
              <w:bottom w:val="single" w:color="000000" w:sz="8" w:space="0"/>
              <w:right w:val="single" w:color="000000" w:sz="8" w:space="0"/>
            </w:tcBorders>
            <w:shd w:val="clear" w:color="auto" w:fill="auto"/>
            <w:noWrap/>
            <w:vAlign w:val="center"/>
          </w:tcPr>
          <w:p w14:paraId="6A34F2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6743744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2E45C5F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5641EA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CAA87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1.4468</w:t>
            </w:r>
          </w:p>
        </w:tc>
        <w:tc>
          <w:tcPr>
            <w:tcW w:w="268" w:type="pct"/>
            <w:tcBorders>
              <w:top w:val="nil"/>
              <w:left w:val="nil"/>
              <w:bottom w:val="single" w:color="000000" w:sz="8" w:space="0"/>
              <w:right w:val="single" w:color="000000" w:sz="8" w:space="0"/>
            </w:tcBorders>
            <w:shd w:val="clear" w:color="auto" w:fill="auto"/>
            <w:noWrap/>
            <w:vAlign w:val="center"/>
          </w:tcPr>
          <w:p w14:paraId="539F6B0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72BA2D3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098B8F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08E0F9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1B18366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67594A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1.4468</w:t>
            </w:r>
          </w:p>
        </w:tc>
        <w:tc>
          <w:tcPr>
            <w:tcW w:w="395" w:type="pct"/>
            <w:tcBorders>
              <w:top w:val="nil"/>
              <w:left w:val="nil"/>
              <w:bottom w:val="single" w:color="000000" w:sz="8" w:space="0"/>
              <w:right w:val="single" w:color="000000" w:sz="8" w:space="0"/>
            </w:tcBorders>
            <w:shd w:val="clear" w:color="auto" w:fill="auto"/>
            <w:noWrap/>
            <w:vAlign w:val="center"/>
          </w:tcPr>
          <w:p w14:paraId="6CF74D2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1.9136</w:t>
            </w:r>
          </w:p>
        </w:tc>
        <w:tc>
          <w:tcPr>
            <w:tcW w:w="344" w:type="pct"/>
            <w:tcBorders>
              <w:top w:val="nil"/>
              <w:left w:val="nil"/>
              <w:bottom w:val="single" w:color="000000" w:sz="8" w:space="0"/>
              <w:right w:val="single" w:color="000000" w:sz="8" w:space="0"/>
            </w:tcBorders>
            <w:shd w:val="clear" w:color="auto" w:fill="auto"/>
            <w:noWrap/>
            <w:vAlign w:val="center"/>
          </w:tcPr>
          <w:p w14:paraId="2E0684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75.61</w:t>
            </w:r>
          </w:p>
        </w:tc>
      </w:tr>
      <w:tr w14:paraId="5D9F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097187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1E3C41B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761" w:type="pct"/>
            <w:tcBorders>
              <w:top w:val="nil"/>
              <w:left w:val="nil"/>
              <w:bottom w:val="single" w:color="000000" w:sz="8" w:space="0"/>
              <w:right w:val="single" w:color="000000" w:sz="8" w:space="0"/>
            </w:tcBorders>
            <w:shd w:val="clear" w:color="auto" w:fill="auto"/>
            <w:noWrap/>
            <w:vAlign w:val="center"/>
          </w:tcPr>
          <w:p w14:paraId="4B76F9A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苏庄商业片区1</w:t>
            </w:r>
          </w:p>
        </w:tc>
        <w:tc>
          <w:tcPr>
            <w:tcW w:w="329" w:type="pct"/>
            <w:tcBorders>
              <w:top w:val="nil"/>
              <w:left w:val="nil"/>
              <w:bottom w:val="single" w:color="000000" w:sz="8" w:space="0"/>
              <w:right w:val="single" w:color="000000" w:sz="8" w:space="0"/>
            </w:tcBorders>
            <w:shd w:val="clear" w:color="auto" w:fill="auto"/>
            <w:noWrap/>
            <w:vAlign w:val="center"/>
          </w:tcPr>
          <w:p w14:paraId="233CB43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66D27C0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0700C44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77B686A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AC6D11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0BA47D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304D87D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0.1192</w:t>
            </w:r>
          </w:p>
        </w:tc>
        <w:tc>
          <w:tcPr>
            <w:tcW w:w="222" w:type="pct"/>
            <w:tcBorders>
              <w:top w:val="nil"/>
              <w:left w:val="nil"/>
              <w:bottom w:val="single" w:color="000000" w:sz="8" w:space="0"/>
              <w:right w:val="single" w:color="000000" w:sz="8" w:space="0"/>
            </w:tcBorders>
            <w:shd w:val="clear" w:color="auto" w:fill="auto"/>
            <w:noWrap/>
            <w:vAlign w:val="center"/>
          </w:tcPr>
          <w:p w14:paraId="441507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1FE04FD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DE7C13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19F96C9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0.1192</w:t>
            </w:r>
          </w:p>
        </w:tc>
        <w:tc>
          <w:tcPr>
            <w:tcW w:w="395" w:type="pct"/>
            <w:tcBorders>
              <w:top w:val="nil"/>
              <w:left w:val="nil"/>
              <w:bottom w:val="single" w:color="000000" w:sz="8" w:space="0"/>
              <w:right w:val="single" w:color="000000" w:sz="8" w:space="0"/>
            </w:tcBorders>
            <w:shd w:val="clear" w:color="auto" w:fill="auto"/>
            <w:noWrap/>
            <w:vAlign w:val="center"/>
          </w:tcPr>
          <w:p w14:paraId="2E08506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3.1105</w:t>
            </w:r>
          </w:p>
        </w:tc>
        <w:tc>
          <w:tcPr>
            <w:tcW w:w="344" w:type="pct"/>
            <w:tcBorders>
              <w:top w:val="nil"/>
              <w:left w:val="nil"/>
              <w:bottom w:val="single" w:color="000000" w:sz="8" w:space="0"/>
              <w:right w:val="single" w:color="000000" w:sz="8" w:space="0"/>
            </w:tcBorders>
            <w:shd w:val="clear" w:color="auto" w:fill="auto"/>
            <w:noWrap/>
            <w:vAlign w:val="center"/>
          </w:tcPr>
          <w:p w14:paraId="1EBB89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3.83</w:t>
            </w:r>
          </w:p>
        </w:tc>
      </w:tr>
      <w:tr w14:paraId="7EA3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01396ED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61E050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761" w:type="pct"/>
            <w:tcBorders>
              <w:top w:val="nil"/>
              <w:left w:val="nil"/>
              <w:bottom w:val="single" w:color="000000" w:sz="8" w:space="0"/>
              <w:right w:val="single" w:color="000000" w:sz="8" w:space="0"/>
            </w:tcBorders>
            <w:shd w:val="clear" w:color="auto" w:fill="auto"/>
            <w:noWrap/>
            <w:vAlign w:val="center"/>
          </w:tcPr>
          <w:p w14:paraId="2E8BE7D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苏庄商业片区2</w:t>
            </w:r>
          </w:p>
        </w:tc>
        <w:tc>
          <w:tcPr>
            <w:tcW w:w="329" w:type="pct"/>
            <w:tcBorders>
              <w:top w:val="nil"/>
              <w:left w:val="nil"/>
              <w:bottom w:val="single" w:color="000000" w:sz="8" w:space="0"/>
              <w:right w:val="single" w:color="000000" w:sz="8" w:space="0"/>
            </w:tcBorders>
            <w:shd w:val="clear" w:color="auto" w:fill="auto"/>
            <w:noWrap/>
            <w:vAlign w:val="center"/>
          </w:tcPr>
          <w:p w14:paraId="4D869A5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0CA5A3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63A4C69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072EA42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2BDB66E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08AB02D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1F5A29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0.8525</w:t>
            </w:r>
          </w:p>
        </w:tc>
        <w:tc>
          <w:tcPr>
            <w:tcW w:w="222" w:type="pct"/>
            <w:tcBorders>
              <w:top w:val="nil"/>
              <w:left w:val="nil"/>
              <w:bottom w:val="single" w:color="000000" w:sz="8" w:space="0"/>
              <w:right w:val="single" w:color="000000" w:sz="8" w:space="0"/>
            </w:tcBorders>
            <w:shd w:val="clear" w:color="auto" w:fill="auto"/>
            <w:noWrap/>
            <w:vAlign w:val="center"/>
          </w:tcPr>
          <w:p w14:paraId="59DE475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50AD020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3355D34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0208D86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0.8525</w:t>
            </w:r>
          </w:p>
        </w:tc>
        <w:tc>
          <w:tcPr>
            <w:tcW w:w="395" w:type="pct"/>
            <w:tcBorders>
              <w:top w:val="nil"/>
              <w:left w:val="nil"/>
              <w:bottom w:val="single" w:color="000000" w:sz="8" w:space="0"/>
              <w:right w:val="single" w:color="000000" w:sz="8" w:space="0"/>
            </w:tcBorders>
            <w:shd w:val="clear" w:color="auto" w:fill="auto"/>
            <w:noWrap/>
            <w:vAlign w:val="center"/>
          </w:tcPr>
          <w:p w14:paraId="28089E6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1.0053</w:t>
            </w:r>
          </w:p>
        </w:tc>
        <w:tc>
          <w:tcPr>
            <w:tcW w:w="344" w:type="pct"/>
            <w:tcBorders>
              <w:top w:val="nil"/>
              <w:left w:val="nil"/>
              <w:bottom w:val="single" w:color="000000" w:sz="8" w:space="0"/>
              <w:right w:val="single" w:color="000000" w:sz="8" w:space="0"/>
            </w:tcBorders>
            <w:shd w:val="clear" w:color="auto" w:fill="auto"/>
            <w:noWrap/>
            <w:vAlign w:val="center"/>
          </w:tcPr>
          <w:p w14:paraId="6394CBF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84.81</w:t>
            </w:r>
          </w:p>
        </w:tc>
      </w:tr>
      <w:tr w14:paraId="1DFD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08" w:type="pct"/>
            <w:vMerge w:val="continue"/>
            <w:tcBorders>
              <w:left w:val="single" w:color="000000" w:sz="8" w:space="0"/>
              <w:right w:val="single" w:color="000000" w:sz="8" w:space="0"/>
            </w:tcBorders>
            <w:shd w:val="clear" w:color="auto" w:fill="auto"/>
            <w:vAlign w:val="center"/>
          </w:tcPr>
          <w:p w14:paraId="375AE02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32E7A81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761" w:type="pct"/>
            <w:tcBorders>
              <w:top w:val="nil"/>
              <w:left w:val="nil"/>
              <w:bottom w:val="single" w:color="000000" w:sz="8" w:space="0"/>
              <w:right w:val="single" w:color="000000" w:sz="8" w:space="0"/>
            </w:tcBorders>
            <w:shd w:val="clear" w:color="auto" w:fill="auto"/>
            <w:noWrap/>
            <w:vAlign w:val="center"/>
          </w:tcPr>
          <w:p w14:paraId="7A9261B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许庄物流片区</w:t>
            </w:r>
          </w:p>
        </w:tc>
        <w:tc>
          <w:tcPr>
            <w:tcW w:w="329" w:type="pct"/>
            <w:tcBorders>
              <w:top w:val="nil"/>
              <w:left w:val="nil"/>
              <w:bottom w:val="single" w:color="000000" w:sz="8" w:space="0"/>
              <w:right w:val="single" w:color="000000" w:sz="8" w:space="0"/>
            </w:tcBorders>
            <w:shd w:val="clear" w:color="auto" w:fill="auto"/>
            <w:noWrap/>
            <w:vAlign w:val="center"/>
          </w:tcPr>
          <w:p w14:paraId="4D2A402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4BDB82B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1EF36FD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325A8C9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BBEF9E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6716773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01EBC38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7BCBAE2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A7C82D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7E82B1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4059E84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1C40250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2.1951</w:t>
            </w:r>
          </w:p>
        </w:tc>
        <w:tc>
          <w:tcPr>
            <w:tcW w:w="344" w:type="pct"/>
            <w:tcBorders>
              <w:top w:val="nil"/>
              <w:left w:val="nil"/>
              <w:bottom w:val="single" w:color="000000" w:sz="8" w:space="0"/>
              <w:right w:val="single" w:color="000000" w:sz="8" w:space="0"/>
            </w:tcBorders>
            <w:shd w:val="clear" w:color="auto" w:fill="auto"/>
            <w:noWrap/>
            <w:vAlign w:val="center"/>
          </w:tcPr>
          <w:p w14:paraId="4C1B38A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4AA4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66534A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6C2EFA9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761" w:type="pct"/>
            <w:tcBorders>
              <w:top w:val="nil"/>
              <w:left w:val="nil"/>
              <w:bottom w:val="single" w:color="000000" w:sz="8" w:space="0"/>
              <w:right w:val="single" w:color="000000" w:sz="8" w:space="0"/>
            </w:tcBorders>
            <w:shd w:val="clear" w:color="auto" w:fill="auto"/>
            <w:noWrap/>
            <w:vAlign w:val="center"/>
          </w:tcPr>
          <w:p w14:paraId="5F01730B">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建宁商业片区</w:t>
            </w:r>
          </w:p>
        </w:tc>
        <w:tc>
          <w:tcPr>
            <w:tcW w:w="329" w:type="pct"/>
            <w:tcBorders>
              <w:top w:val="nil"/>
              <w:left w:val="nil"/>
              <w:bottom w:val="single" w:color="000000" w:sz="8" w:space="0"/>
              <w:right w:val="single" w:color="000000" w:sz="8" w:space="0"/>
            </w:tcBorders>
            <w:shd w:val="clear" w:color="auto" w:fill="auto"/>
            <w:noWrap/>
            <w:vAlign w:val="center"/>
          </w:tcPr>
          <w:p w14:paraId="6FA5D16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7921210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530897D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620A60B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743F439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22E867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6E94D5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22" w:type="pct"/>
            <w:tcBorders>
              <w:top w:val="nil"/>
              <w:left w:val="nil"/>
              <w:bottom w:val="single" w:color="000000" w:sz="8" w:space="0"/>
              <w:right w:val="single" w:color="000000" w:sz="8" w:space="0"/>
            </w:tcBorders>
            <w:shd w:val="clear" w:color="auto" w:fill="auto"/>
            <w:noWrap/>
            <w:vAlign w:val="center"/>
          </w:tcPr>
          <w:p w14:paraId="38E29C5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5FF1894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0395BC1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77039F2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165C18D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0.2077</w:t>
            </w:r>
          </w:p>
        </w:tc>
        <w:tc>
          <w:tcPr>
            <w:tcW w:w="344" w:type="pct"/>
            <w:tcBorders>
              <w:top w:val="nil"/>
              <w:left w:val="nil"/>
              <w:bottom w:val="single" w:color="000000" w:sz="8" w:space="0"/>
              <w:right w:val="single" w:color="000000" w:sz="8" w:space="0"/>
            </w:tcBorders>
            <w:shd w:val="clear" w:color="auto" w:fill="auto"/>
            <w:noWrap/>
            <w:vAlign w:val="center"/>
          </w:tcPr>
          <w:p w14:paraId="690803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511A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bottom w:val="single" w:color="000000" w:sz="8" w:space="0"/>
              <w:right w:val="single" w:color="000000" w:sz="8" w:space="0"/>
            </w:tcBorders>
            <w:shd w:val="clear" w:color="auto" w:fill="auto"/>
            <w:vAlign w:val="center"/>
          </w:tcPr>
          <w:p w14:paraId="2EB21E7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gridSpan w:val="2"/>
            <w:tcBorders>
              <w:top w:val="nil"/>
              <w:left w:val="nil"/>
              <w:bottom w:val="single" w:color="000000" w:sz="8" w:space="0"/>
              <w:right w:val="single" w:color="000000" w:sz="8" w:space="0"/>
            </w:tcBorders>
            <w:shd w:val="clear" w:color="auto" w:fill="auto"/>
            <w:noWrap/>
            <w:vAlign w:val="center"/>
          </w:tcPr>
          <w:p w14:paraId="7ADE5184">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29" w:type="pct"/>
            <w:tcBorders>
              <w:top w:val="nil"/>
              <w:left w:val="nil"/>
              <w:bottom w:val="single" w:color="000000" w:sz="8" w:space="0"/>
              <w:right w:val="single" w:color="000000" w:sz="8" w:space="0"/>
            </w:tcBorders>
            <w:shd w:val="clear" w:color="auto" w:fill="auto"/>
            <w:noWrap/>
            <w:vAlign w:val="center"/>
          </w:tcPr>
          <w:p w14:paraId="1E9EF1F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4A9FD1F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3BD0A6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261A558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4C45310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1.4468</w:t>
            </w:r>
          </w:p>
        </w:tc>
        <w:tc>
          <w:tcPr>
            <w:tcW w:w="268" w:type="pct"/>
            <w:tcBorders>
              <w:top w:val="nil"/>
              <w:left w:val="nil"/>
              <w:bottom w:val="single" w:color="000000" w:sz="8" w:space="0"/>
              <w:right w:val="single" w:color="000000" w:sz="8" w:space="0"/>
            </w:tcBorders>
            <w:shd w:val="clear" w:color="auto" w:fill="auto"/>
            <w:noWrap/>
            <w:vAlign w:val="center"/>
          </w:tcPr>
          <w:p w14:paraId="6945D2E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4BCFFB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0.9718</w:t>
            </w:r>
          </w:p>
        </w:tc>
        <w:tc>
          <w:tcPr>
            <w:tcW w:w="222" w:type="pct"/>
            <w:tcBorders>
              <w:top w:val="nil"/>
              <w:left w:val="nil"/>
              <w:bottom w:val="single" w:color="000000" w:sz="8" w:space="0"/>
              <w:right w:val="single" w:color="000000" w:sz="8" w:space="0"/>
            </w:tcBorders>
            <w:shd w:val="clear" w:color="auto" w:fill="auto"/>
            <w:noWrap/>
            <w:vAlign w:val="center"/>
          </w:tcPr>
          <w:p w14:paraId="7CEE2EE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B196AD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2D3AE84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4A29B5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5.5864</w:t>
            </w:r>
          </w:p>
        </w:tc>
        <w:tc>
          <w:tcPr>
            <w:tcW w:w="395" w:type="pct"/>
            <w:tcBorders>
              <w:top w:val="nil"/>
              <w:left w:val="nil"/>
              <w:bottom w:val="single" w:color="000000" w:sz="8" w:space="0"/>
              <w:right w:val="single" w:color="000000" w:sz="8" w:space="0"/>
            </w:tcBorders>
            <w:shd w:val="clear" w:color="auto" w:fill="auto"/>
            <w:noWrap/>
            <w:vAlign w:val="center"/>
          </w:tcPr>
          <w:p w14:paraId="0017920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11.6009</w:t>
            </w:r>
          </w:p>
        </w:tc>
        <w:tc>
          <w:tcPr>
            <w:tcW w:w="344" w:type="pct"/>
            <w:tcBorders>
              <w:top w:val="nil"/>
              <w:left w:val="nil"/>
              <w:bottom w:val="single" w:color="000000" w:sz="8" w:space="0"/>
              <w:right w:val="single" w:color="000000" w:sz="8" w:space="0"/>
            </w:tcBorders>
            <w:shd w:val="clear" w:color="auto" w:fill="auto"/>
            <w:noWrap/>
            <w:vAlign w:val="center"/>
          </w:tcPr>
          <w:p w14:paraId="20D538D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48.16</w:t>
            </w:r>
          </w:p>
        </w:tc>
      </w:tr>
      <w:tr w14:paraId="0B5A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restart"/>
            <w:tcBorders>
              <w:top w:val="nil"/>
              <w:left w:val="single" w:color="000000" w:sz="8" w:space="0"/>
              <w:right w:val="single" w:color="000000" w:sz="8" w:space="0"/>
            </w:tcBorders>
            <w:shd w:val="clear" w:color="auto" w:fill="auto"/>
            <w:vAlign w:val="center"/>
          </w:tcPr>
          <w:p w14:paraId="44C4582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开发区</w:t>
            </w:r>
          </w:p>
        </w:tc>
        <w:tc>
          <w:tcPr>
            <w:tcW w:w="267" w:type="pct"/>
            <w:tcBorders>
              <w:top w:val="nil"/>
              <w:left w:val="nil"/>
              <w:bottom w:val="single" w:color="000000" w:sz="8" w:space="0"/>
              <w:right w:val="single" w:color="000000" w:sz="8" w:space="0"/>
            </w:tcBorders>
            <w:shd w:val="clear" w:color="auto" w:fill="auto"/>
            <w:noWrap/>
            <w:vAlign w:val="center"/>
          </w:tcPr>
          <w:p w14:paraId="6041DD3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761" w:type="pct"/>
            <w:tcBorders>
              <w:top w:val="nil"/>
              <w:left w:val="nil"/>
              <w:bottom w:val="single" w:color="000000" w:sz="8" w:space="0"/>
              <w:right w:val="single" w:color="000000" w:sz="8" w:space="0"/>
            </w:tcBorders>
            <w:shd w:val="clear" w:color="auto" w:fill="auto"/>
            <w:noWrap/>
            <w:vAlign w:val="center"/>
          </w:tcPr>
          <w:p w14:paraId="59272435">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三甲南片区</w:t>
            </w:r>
          </w:p>
        </w:tc>
        <w:tc>
          <w:tcPr>
            <w:tcW w:w="329" w:type="pct"/>
            <w:tcBorders>
              <w:top w:val="nil"/>
              <w:left w:val="nil"/>
              <w:bottom w:val="single" w:color="000000" w:sz="8" w:space="0"/>
              <w:right w:val="single" w:color="000000" w:sz="8" w:space="0"/>
            </w:tcBorders>
            <w:shd w:val="clear" w:color="auto" w:fill="auto"/>
            <w:noWrap/>
            <w:vAlign w:val="center"/>
          </w:tcPr>
          <w:p w14:paraId="0FC842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7832B2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6476337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72F9D9E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42C627C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68" w:type="pct"/>
            <w:tcBorders>
              <w:top w:val="nil"/>
              <w:left w:val="nil"/>
              <w:bottom w:val="single" w:color="000000" w:sz="8" w:space="0"/>
              <w:right w:val="single" w:color="000000" w:sz="8" w:space="0"/>
            </w:tcBorders>
            <w:shd w:val="clear" w:color="auto" w:fill="auto"/>
            <w:noWrap/>
            <w:vAlign w:val="center"/>
          </w:tcPr>
          <w:p w14:paraId="1F710CF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338E23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568A12C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533F979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D6119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1022DF6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95" w:type="pct"/>
            <w:tcBorders>
              <w:top w:val="nil"/>
              <w:left w:val="nil"/>
              <w:bottom w:val="single" w:color="000000" w:sz="8" w:space="0"/>
              <w:right w:val="single" w:color="000000" w:sz="8" w:space="0"/>
            </w:tcBorders>
            <w:shd w:val="clear" w:color="auto" w:fill="auto"/>
            <w:noWrap/>
            <w:vAlign w:val="center"/>
          </w:tcPr>
          <w:p w14:paraId="656BEA2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4.2528</w:t>
            </w:r>
          </w:p>
        </w:tc>
        <w:tc>
          <w:tcPr>
            <w:tcW w:w="344" w:type="pct"/>
            <w:tcBorders>
              <w:top w:val="single" w:color="000000" w:sz="8" w:space="0"/>
              <w:left w:val="nil"/>
              <w:bottom w:val="single" w:color="000000" w:sz="8" w:space="0"/>
              <w:right w:val="single" w:color="000000" w:sz="8" w:space="0"/>
            </w:tcBorders>
            <w:shd w:val="clear" w:color="auto" w:fill="auto"/>
            <w:noWrap/>
            <w:vAlign w:val="center"/>
          </w:tcPr>
          <w:p w14:paraId="67D73AB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0.00</w:t>
            </w:r>
          </w:p>
        </w:tc>
      </w:tr>
      <w:tr w14:paraId="7EBA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8" w:type="pct"/>
            <w:vMerge w:val="continue"/>
            <w:tcBorders>
              <w:left w:val="single" w:color="000000" w:sz="8" w:space="0"/>
              <w:right w:val="single" w:color="000000" w:sz="8" w:space="0"/>
            </w:tcBorders>
            <w:shd w:val="clear" w:color="auto" w:fill="auto"/>
            <w:vAlign w:val="center"/>
          </w:tcPr>
          <w:p w14:paraId="7A37CE7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60E6A52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761" w:type="pct"/>
            <w:tcBorders>
              <w:top w:val="nil"/>
              <w:left w:val="nil"/>
              <w:bottom w:val="single" w:color="000000" w:sz="8" w:space="0"/>
              <w:right w:val="single" w:color="000000" w:sz="8" w:space="0"/>
            </w:tcBorders>
            <w:shd w:val="clear" w:color="auto" w:fill="auto"/>
            <w:noWrap/>
            <w:vAlign w:val="center"/>
          </w:tcPr>
          <w:p w14:paraId="1D36063C">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米山北工业片区</w:t>
            </w:r>
          </w:p>
        </w:tc>
        <w:tc>
          <w:tcPr>
            <w:tcW w:w="329" w:type="pct"/>
            <w:tcBorders>
              <w:top w:val="nil"/>
              <w:left w:val="nil"/>
              <w:bottom w:val="single" w:color="000000" w:sz="8" w:space="0"/>
              <w:right w:val="single" w:color="000000" w:sz="8" w:space="0"/>
            </w:tcBorders>
            <w:shd w:val="clear" w:color="auto" w:fill="auto"/>
            <w:noWrap/>
            <w:vAlign w:val="center"/>
          </w:tcPr>
          <w:p w14:paraId="42C5337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85" w:type="pct"/>
            <w:tcBorders>
              <w:top w:val="nil"/>
              <w:left w:val="nil"/>
              <w:bottom w:val="single" w:color="000000" w:sz="8" w:space="0"/>
              <w:right w:val="single" w:color="000000" w:sz="8" w:space="0"/>
            </w:tcBorders>
            <w:shd w:val="clear" w:color="auto" w:fill="auto"/>
            <w:noWrap/>
            <w:vAlign w:val="center"/>
          </w:tcPr>
          <w:p w14:paraId="3A97D71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29123D0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40D54AC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2C468A9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2.4226</w:t>
            </w:r>
          </w:p>
        </w:tc>
        <w:tc>
          <w:tcPr>
            <w:tcW w:w="268" w:type="pct"/>
            <w:tcBorders>
              <w:top w:val="nil"/>
              <w:left w:val="nil"/>
              <w:bottom w:val="single" w:color="000000" w:sz="8" w:space="0"/>
              <w:right w:val="single" w:color="000000" w:sz="8" w:space="0"/>
            </w:tcBorders>
            <w:shd w:val="clear" w:color="auto" w:fill="auto"/>
            <w:noWrap/>
            <w:vAlign w:val="center"/>
          </w:tcPr>
          <w:p w14:paraId="68A573F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4E39FC9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1DA9A6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76AB07C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204D70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3320473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2.4226</w:t>
            </w:r>
          </w:p>
        </w:tc>
        <w:tc>
          <w:tcPr>
            <w:tcW w:w="395" w:type="pct"/>
            <w:tcBorders>
              <w:top w:val="nil"/>
              <w:left w:val="nil"/>
              <w:bottom w:val="single" w:color="000000" w:sz="8" w:space="0"/>
              <w:right w:val="single" w:color="000000" w:sz="8" w:space="0"/>
            </w:tcBorders>
            <w:shd w:val="clear" w:color="auto" w:fill="auto"/>
            <w:noWrap/>
            <w:vAlign w:val="center"/>
          </w:tcPr>
          <w:p w14:paraId="451F3D7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36.5663</w:t>
            </w:r>
          </w:p>
        </w:tc>
        <w:tc>
          <w:tcPr>
            <w:tcW w:w="344" w:type="pct"/>
            <w:tcBorders>
              <w:top w:val="nil"/>
              <w:left w:val="nil"/>
              <w:bottom w:val="single" w:color="000000" w:sz="8" w:space="0"/>
              <w:right w:val="single" w:color="000000" w:sz="8" w:space="0"/>
            </w:tcBorders>
            <w:shd w:val="clear" w:color="auto" w:fill="auto"/>
            <w:noWrap/>
            <w:vAlign w:val="center"/>
          </w:tcPr>
          <w:p w14:paraId="2E73CC8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6.63</w:t>
            </w:r>
          </w:p>
        </w:tc>
      </w:tr>
      <w:tr w14:paraId="7F6B0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right w:val="single" w:color="000000" w:sz="8" w:space="0"/>
            </w:tcBorders>
            <w:shd w:val="clear" w:color="auto" w:fill="auto"/>
            <w:vAlign w:val="center"/>
          </w:tcPr>
          <w:p w14:paraId="6301BE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67" w:type="pct"/>
            <w:tcBorders>
              <w:top w:val="nil"/>
              <w:left w:val="nil"/>
              <w:bottom w:val="single" w:color="000000" w:sz="8" w:space="0"/>
              <w:right w:val="single" w:color="000000" w:sz="8" w:space="0"/>
            </w:tcBorders>
            <w:shd w:val="clear" w:color="auto" w:fill="auto"/>
            <w:noWrap/>
            <w:vAlign w:val="center"/>
          </w:tcPr>
          <w:p w14:paraId="0845DF0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761" w:type="pct"/>
            <w:tcBorders>
              <w:top w:val="nil"/>
              <w:left w:val="nil"/>
              <w:bottom w:val="single" w:color="000000" w:sz="8" w:space="0"/>
              <w:right w:val="single" w:color="000000" w:sz="8" w:space="0"/>
            </w:tcBorders>
            <w:shd w:val="clear" w:color="auto" w:fill="auto"/>
            <w:noWrap/>
            <w:vAlign w:val="center"/>
          </w:tcPr>
          <w:p w14:paraId="0D0D345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米山道路片区</w:t>
            </w:r>
          </w:p>
        </w:tc>
        <w:tc>
          <w:tcPr>
            <w:tcW w:w="329" w:type="pct"/>
            <w:tcBorders>
              <w:top w:val="nil"/>
              <w:left w:val="nil"/>
              <w:bottom w:val="single" w:color="000000" w:sz="8" w:space="0"/>
              <w:right w:val="single" w:color="000000" w:sz="8" w:space="0"/>
            </w:tcBorders>
            <w:shd w:val="clear" w:color="auto" w:fill="auto"/>
            <w:noWrap/>
            <w:vAlign w:val="center"/>
          </w:tcPr>
          <w:p w14:paraId="3C64360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8.5155</w:t>
            </w:r>
          </w:p>
        </w:tc>
        <w:tc>
          <w:tcPr>
            <w:tcW w:w="285" w:type="pct"/>
            <w:tcBorders>
              <w:top w:val="nil"/>
              <w:left w:val="nil"/>
              <w:bottom w:val="single" w:color="000000" w:sz="8" w:space="0"/>
              <w:right w:val="single" w:color="000000" w:sz="8" w:space="0"/>
            </w:tcBorders>
            <w:shd w:val="clear" w:color="auto" w:fill="auto"/>
            <w:noWrap/>
            <w:vAlign w:val="center"/>
          </w:tcPr>
          <w:p w14:paraId="44264AD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6B47D29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4333798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35A7C5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4.9348</w:t>
            </w:r>
          </w:p>
        </w:tc>
        <w:tc>
          <w:tcPr>
            <w:tcW w:w="268" w:type="pct"/>
            <w:tcBorders>
              <w:top w:val="nil"/>
              <w:left w:val="nil"/>
              <w:bottom w:val="single" w:color="000000" w:sz="8" w:space="0"/>
              <w:right w:val="single" w:color="000000" w:sz="8" w:space="0"/>
            </w:tcBorders>
            <w:shd w:val="clear" w:color="auto" w:fill="auto"/>
            <w:noWrap/>
            <w:vAlign w:val="center"/>
          </w:tcPr>
          <w:p w14:paraId="4D5B27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25194A8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58ADE61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7184795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4B6BE30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31B25B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13.4503</w:t>
            </w:r>
          </w:p>
        </w:tc>
        <w:tc>
          <w:tcPr>
            <w:tcW w:w="395" w:type="pct"/>
            <w:tcBorders>
              <w:top w:val="nil"/>
              <w:left w:val="nil"/>
              <w:bottom w:val="single" w:color="000000" w:sz="8" w:space="0"/>
              <w:right w:val="single" w:color="000000" w:sz="8" w:space="0"/>
            </w:tcBorders>
            <w:shd w:val="clear" w:color="auto" w:fill="auto"/>
            <w:noWrap/>
            <w:vAlign w:val="center"/>
          </w:tcPr>
          <w:p w14:paraId="5F4BB3B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13.6793</w:t>
            </w:r>
          </w:p>
        </w:tc>
        <w:tc>
          <w:tcPr>
            <w:tcW w:w="344" w:type="pct"/>
            <w:tcBorders>
              <w:top w:val="nil"/>
              <w:left w:val="nil"/>
              <w:bottom w:val="single" w:color="000000" w:sz="8" w:space="0"/>
              <w:right w:val="single" w:color="000000" w:sz="8" w:space="0"/>
            </w:tcBorders>
            <w:shd w:val="clear" w:color="auto" w:fill="auto"/>
            <w:noWrap/>
            <w:vAlign w:val="center"/>
          </w:tcPr>
          <w:p w14:paraId="3B1DE44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98.33</w:t>
            </w:r>
          </w:p>
        </w:tc>
      </w:tr>
      <w:tr w14:paraId="1AE8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 w:type="pct"/>
            <w:vMerge w:val="continue"/>
            <w:tcBorders>
              <w:left w:val="single" w:color="000000" w:sz="8" w:space="0"/>
              <w:bottom w:val="single" w:color="000000" w:sz="8" w:space="0"/>
              <w:right w:val="single" w:color="000000" w:sz="8" w:space="0"/>
            </w:tcBorders>
            <w:shd w:val="clear" w:color="auto" w:fill="auto"/>
            <w:noWrap/>
            <w:vAlign w:val="center"/>
          </w:tcPr>
          <w:p w14:paraId="0754D9F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28" w:type="pct"/>
            <w:gridSpan w:val="2"/>
            <w:tcBorders>
              <w:top w:val="nil"/>
              <w:left w:val="nil"/>
              <w:bottom w:val="single" w:color="000000" w:sz="8" w:space="0"/>
              <w:right w:val="single" w:color="000000" w:sz="8" w:space="0"/>
            </w:tcBorders>
            <w:shd w:val="clear" w:color="auto" w:fill="auto"/>
            <w:noWrap/>
            <w:vAlign w:val="center"/>
          </w:tcPr>
          <w:p w14:paraId="79772E9A">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小计</w:t>
            </w:r>
          </w:p>
        </w:tc>
        <w:tc>
          <w:tcPr>
            <w:tcW w:w="329" w:type="pct"/>
            <w:tcBorders>
              <w:top w:val="nil"/>
              <w:left w:val="nil"/>
              <w:bottom w:val="single" w:color="000000" w:sz="8" w:space="0"/>
              <w:right w:val="single" w:color="000000" w:sz="8" w:space="0"/>
            </w:tcBorders>
            <w:shd w:val="clear" w:color="auto" w:fill="auto"/>
            <w:noWrap/>
            <w:vAlign w:val="center"/>
          </w:tcPr>
          <w:p w14:paraId="1D0A089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8.5155</w:t>
            </w:r>
          </w:p>
        </w:tc>
        <w:tc>
          <w:tcPr>
            <w:tcW w:w="285" w:type="pct"/>
            <w:tcBorders>
              <w:top w:val="nil"/>
              <w:left w:val="nil"/>
              <w:bottom w:val="single" w:color="000000" w:sz="8" w:space="0"/>
              <w:right w:val="single" w:color="000000" w:sz="8" w:space="0"/>
            </w:tcBorders>
            <w:shd w:val="clear" w:color="auto" w:fill="auto"/>
            <w:noWrap/>
            <w:vAlign w:val="center"/>
          </w:tcPr>
          <w:p w14:paraId="3FF8C00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51A2F25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5EFA0D0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149210E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7.3574</w:t>
            </w:r>
          </w:p>
        </w:tc>
        <w:tc>
          <w:tcPr>
            <w:tcW w:w="268" w:type="pct"/>
            <w:tcBorders>
              <w:top w:val="nil"/>
              <w:left w:val="nil"/>
              <w:bottom w:val="single" w:color="000000" w:sz="8" w:space="0"/>
              <w:right w:val="single" w:color="000000" w:sz="8" w:space="0"/>
            </w:tcBorders>
            <w:shd w:val="clear" w:color="auto" w:fill="auto"/>
            <w:noWrap/>
            <w:vAlign w:val="center"/>
          </w:tcPr>
          <w:p w14:paraId="6A24346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345E81D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22" w:type="pct"/>
            <w:tcBorders>
              <w:top w:val="nil"/>
              <w:left w:val="nil"/>
              <w:bottom w:val="single" w:color="000000" w:sz="8" w:space="0"/>
              <w:right w:val="single" w:color="000000" w:sz="8" w:space="0"/>
            </w:tcBorders>
            <w:shd w:val="clear" w:color="auto" w:fill="auto"/>
            <w:noWrap/>
            <w:vAlign w:val="center"/>
          </w:tcPr>
          <w:p w14:paraId="7C8B2E9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06" w:type="pct"/>
            <w:tcBorders>
              <w:top w:val="nil"/>
              <w:left w:val="nil"/>
              <w:bottom w:val="single" w:color="000000" w:sz="8" w:space="0"/>
              <w:right w:val="single" w:color="000000" w:sz="8" w:space="0"/>
            </w:tcBorders>
            <w:shd w:val="clear" w:color="auto" w:fill="auto"/>
            <w:noWrap/>
            <w:vAlign w:val="center"/>
          </w:tcPr>
          <w:p w14:paraId="58E5DD5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7C88948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19D756F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15.8729</w:t>
            </w:r>
          </w:p>
        </w:tc>
        <w:tc>
          <w:tcPr>
            <w:tcW w:w="395" w:type="pct"/>
            <w:tcBorders>
              <w:top w:val="nil"/>
              <w:left w:val="nil"/>
              <w:bottom w:val="single" w:color="000000" w:sz="8" w:space="0"/>
              <w:right w:val="single" w:color="000000" w:sz="8" w:space="0"/>
            </w:tcBorders>
            <w:shd w:val="clear" w:color="auto" w:fill="auto"/>
            <w:noWrap/>
            <w:vAlign w:val="center"/>
          </w:tcPr>
          <w:p w14:paraId="050888A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54.4983</w:t>
            </w:r>
          </w:p>
        </w:tc>
        <w:tc>
          <w:tcPr>
            <w:tcW w:w="344" w:type="pct"/>
            <w:tcBorders>
              <w:top w:val="nil"/>
              <w:left w:val="nil"/>
              <w:bottom w:val="single" w:color="000000" w:sz="8" w:space="0"/>
              <w:right w:val="single" w:color="000000" w:sz="8" w:space="0"/>
            </w:tcBorders>
            <w:shd w:val="clear" w:color="auto" w:fill="auto"/>
            <w:noWrap/>
            <w:vAlign w:val="center"/>
          </w:tcPr>
          <w:p w14:paraId="627BFD4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29.13</w:t>
            </w:r>
          </w:p>
        </w:tc>
      </w:tr>
      <w:tr w14:paraId="6BF7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7" w:type="pct"/>
            <w:gridSpan w:val="3"/>
            <w:tcBorders>
              <w:top w:val="nil"/>
              <w:left w:val="single" w:color="000000" w:sz="8" w:space="0"/>
              <w:bottom w:val="single" w:color="000000" w:sz="8" w:space="0"/>
              <w:right w:val="single" w:color="000000" w:sz="8" w:space="0"/>
            </w:tcBorders>
            <w:shd w:val="clear" w:color="auto" w:fill="auto"/>
            <w:noWrap/>
            <w:vAlign w:val="center"/>
          </w:tcPr>
          <w:p w14:paraId="4E1533E3">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合计</w:t>
            </w:r>
          </w:p>
        </w:tc>
        <w:tc>
          <w:tcPr>
            <w:tcW w:w="329" w:type="pct"/>
            <w:tcBorders>
              <w:top w:val="nil"/>
              <w:left w:val="nil"/>
              <w:bottom w:val="single" w:color="000000" w:sz="8" w:space="0"/>
              <w:right w:val="single" w:color="000000" w:sz="8" w:space="0"/>
            </w:tcBorders>
            <w:shd w:val="clear" w:color="auto" w:fill="auto"/>
            <w:noWrap/>
            <w:vAlign w:val="center"/>
          </w:tcPr>
          <w:p w14:paraId="17A519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8.5155</w:t>
            </w:r>
          </w:p>
        </w:tc>
        <w:tc>
          <w:tcPr>
            <w:tcW w:w="285" w:type="pct"/>
            <w:tcBorders>
              <w:top w:val="nil"/>
              <w:left w:val="nil"/>
              <w:bottom w:val="single" w:color="000000" w:sz="8" w:space="0"/>
              <w:right w:val="single" w:color="000000" w:sz="8" w:space="0"/>
            </w:tcBorders>
            <w:shd w:val="clear" w:color="auto" w:fill="auto"/>
            <w:noWrap/>
            <w:vAlign w:val="center"/>
          </w:tcPr>
          <w:p w14:paraId="5F9382C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48" w:type="pct"/>
            <w:tcBorders>
              <w:top w:val="nil"/>
              <w:left w:val="nil"/>
              <w:bottom w:val="single" w:color="000000" w:sz="8" w:space="0"/>
              <w:right w:val="single" w:color="000000" w:sz="8" w:space="0"/>
            </w:tcBorders>
            <w:shd w:val="clear" w:color="auto" w:fill="auto"/>
            <w:noWrap/>
            <w:vAlign w:val="center"/>
          </w:tcPr>
          <w:p w14:paraId="711A00C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53" w:type="pct"/>
            <w:tcBorders>
              <w:top w:val="nil"/>
              <w:left w:val="nil"/>
              <w:bottom w:val="single" w:color="000000" w:sz="8" w:space="0"/>
              <w:right w:val="single" w:color="000000" w:sz="8" w:space="0"/>
            </w:tcBorders>
            <w:shd w:val="clear" w:color="auto" w:fill="auto"/>
            <w:noWrap/>
            <w:vAlign w:val="center"/>
          </w:tcPr>
          <w:p w14:paraId="33F5843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34" w:type="pct"/>
            <w:tcBorders>
              <w:top w:val="nil"/>
              <w:left w:val="nil"/>
              <w:bottom w:val="single" w:color="000000" w:sz="8" w:space="0"/>
              <w:right w:val="single" w:color="000000" w:sz="8" w:space="0"/>
            </w:tcBorders>
            <w:shd w:val="clear" w:color="auto" w:fill="auto"/>
            <w:noWrap/>
            <w:vAlign w:val="center"/>
          </w:tcPr>
          <w:p w14:paraId="05E4CEB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8.8043</w:t>
            </w:r>
          </w:p>
        </w:tc>
        <w:tc>
          <w:tcPr>
            <w:tcW w:w="268" w:type="pct"/>
            <w:tcBorders>
              <w:top w:val="nil"/>
              <w:left w:val="nil"/>
              <w:bottom w:val="single" w:color="000000" w:sz="8" w:space="0"/>
              <w:right w:val="single" w:color="000000" w:sz="8" w:space="0"/>
            </w:tcBorders>
            <w:shd w:val="clear" w:color="auto" w:fill="auto"/>
            <w:noWrap/>
            <w:vAlign w:val="center"/>
          </w:tcPr>
          <w:p w14:paraId="015FE0F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27" w:type="pct"/>
            <w:tcBorders>
              <w:top w:val="nil"/>
              <w:left w:val="nil"/>
              <w:bottom w:val="single" w:color="000000" w:sz="8" w:space="0"/>
              <w:right w:val="single" w:color="000000" w:sz="8" w:space="0"/>
            </w:tcBorders>
            <w:shd w:val="clear" w:color="auto" w:fill="auto"/>
            <w:noWrap/>
            <w:vAlign w:val="center"/>
          </w:tcPr>
          <w:p w14:paraId="220926A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0.9718</w:t>
            </w:r>
          </w:p>
        </w:tc>
        <w:tc>
          <w:tcPr>
            <w:tcW w:w="222" w:type="pct"/>
            <w:tcBorders>
              <w:top w:val="nil"/>
              <w:left w:val="nil"/>
              <w:bottom w:val="single" w:color="000000" w:sz="8" w:space="0"/>
              <w:right w:val="single" w:color="000000" w:sz="8" w:space="0"/>
            </w:tcBorders>
            <w:shd w:val="clear" w:color="auto" w:fill="auto"/>
            <w:noWrap/>
            <w:vAlign w:val="center"/>
          </w:tcPr>
          <w:p w14:paraId="04595FC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206" w:type="pct"/>
            <w:tcBorders>
              <w:top w:val="nil"/>
              <w:left w:val="nil"/>
              <w:bottom w:val="single" w:color="000000" w:sz="8" w:space="0"/>
              <w:right w:val="single" w:color="000000" w:sz="8" w:space="0"/>
            </w:tcBorders>
            <w:shd w:val="clear" w:color="auto" w:fill="auto"/>
            <w:noWrap/>
            <w:vAlign w:val="center"/>
          </w:tcPr>
          <w:p w14:paraId="36093A7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179" w:type="pct"/>
            <w:tcBorders>
              <w:top w:val="nil"/>
              <w:left w:val="nil"/>
              <w:bottom w:val="single" w:color="000000" w:sz="8" w:space="0"/>
              <w:right w:val="single" w:color="000000" w:sz="8" w:space="0"/>
            </w:tcBorders>
            <w:shd w:val="clear" w:color="auto" w:fill="auto"/>
            <w:noWrap/>
            <w:vAlign w:val="center"/>
          </w:tcPr>
          <w:p w14:paraId="62B6BF6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w:t>
            </w:r>
          </w:p>
        </w:tc>
        <w:tc>
          <w:tcPr>
            <w:tcW w:w="365" w:type="pct"/>
            <w:tcBorders>
              <w:top w:val="nil"/>
              <w:left w:val="nil"/>
              <w:bottom w:val="single" w:color="000000" w:sz="8" w:space="0"/>
              <w:right w:val="single" w:color="000000" w:sz="8" w:space="0"/>
            </w:tcBorders>
            <w:shd w:val="clear" w:color="auto" w:fill="auto"/>
            <w:noWrap/>
            <w:vAlign w:val="center"/>
          </w:tcPr>
          <w:p w14:paraId="5955627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21.4593</w:t>
            </w:r>
          </w:p>
        </w:tc>
        <w:tc>
          <w:tcPr>
            <w:tcW w:w="395" w:type="pct"/>
            <w:tcBorders>
              <w:top w:val="nil"/>
              <w:left w:val="nil"/>
              <w:bottom w:val="single" w:color="000000" w:sz="8" w:space="0"/>
              <w:right w:val="single" w:color="000000" w:sz="8" w:space="0"/>
            </w:tcBorders>
            <w:shd w:val="clear" w:color="auto" w:fill="auto"/>
            <w:noWrap/>
            <w:vAlign w:val="center"/>
          </w:tcPr>
          <w:p w14:paraId="08CACB0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66.0992</w:t>
            </w:r>
          </w:p>
        </w:tc>
        <w:tc>
          <w:tcPr>
            <w:tcW w:w="344" w:type="pct"/>
            <w:tcBorders>
              <w:top w:val="nil"/>
              <w:left w:val="nil"/>
              <w:bottom w:val="single" w:color="000000" w:sz="8" w:space="0"/>
              <w:right w:val="single" w:color="000000" w:sz="8" w:space="0"/>
            </w:tcBorders>
            <w:shd w:val="clear" w:color="auto" w:fill="auto"/>
            <w:noWrap/>
            <w:vAlign w:val="center"/>
          </w:tcPr>
          <w:p w14:paraId="7A438D8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32.47</w:t>
            </w:r>
          </w:p>
        </w:tc>
      </w:tr>
      <w:tr w14:paraId="479E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6"/>
            <w:tcBorders>
              <w:top w:val="nil"/>
              <w:left w:val="single" w:color="000000" w:sz="8" w:space="0"/>
              <w:bottom w:val="single" w:color="000000" w:sz="8" w:space="0"/>
              <w:right w:val="single" w:color="000000" w:sz="8" w:space="0"/>
            </w:tcBorders>
            <w:shd w:val="clear" w:color="auto" w:fill="auto"/>
            <w:noWrap/>
            <w:vAlign w:val="center"/>
          </w:tcPr>
          <w:p w14:paraId="4C5B32D8">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备注：公益用地面积由高平市</w:t>
            </w:r>
            <w:r>
              <w:rPr>
                <w:rFonts w:hint="default" w:ascii="Times New Roman" w:hAnsi="Times New Roman" w:eastAsia="仿宋" w:cs="Times New Roman"/>
                <w:i w:val="0"/>
                <w:iCs w:val="0"/>
                <w:color w:val="000000"/>
                <w:kern w:val="0"/>
                <w:sz w:val="21"/>
                <w:szCs w:val="21"/>
                <w:u w:val="none"/>
                <w:lang w:val="en-US" w:eastAsia="zh-CN" w:bidi="ar"/>
              </w:rPr>
              <w:t>2023</w:t>
            </w:r>
            <w:r>
              <w:rPr>
                <w:rFonts w:hint="eastAsia" w:ascii="Times New Roman" w:hAnsi="Times New Roman" w:eastAsia="仿宋" w:cs="Times New Roman"/>
                <w:i w:val="0"/>
                <w:iCs w:val="0"/>
                <w:color w:val="000000"/>
                <w:kern w:val="0"/>
                <w:sz w:val="21"/>
                <w:szCs w:val="21"/>
                <w:u w:val="none"/>
                <w:lang w:val="en-US" w:eastAsia="zh-CN" w:bidi="ar"/>
              </w:rPr>
              <w:t>年度国土变更调查数据的公益用地和新增公益项目统计。</w:t>
            </w:r>
          </w:p>
        </w:tc>
      </w:tr>
    </w:tbl>
    <w:p w14:paraId="4AA8684C">
      <w:pPr>
        <w:spacing w:line="240" w:lineRule="auto"/>
        <w:jc w:val="left"/>
        <w:rPr>
          <w:rFonts w:hint="default" w:ascii="Times New Roman" w:hAnsi="Times New Roman" w:eastAsia="仿宋" w:cs="Times New Roman"/>
          <w:sz w:val="24"/>
          <w:szCs w:val="24"/>
          <w:lang w:val="en-US" w:eastAsia="zh-CN" w:bidi="ar-SA"/>
        </w:rPr>
      </w:pPr>
    </w:p>
    <w:p w14:paraId="457CB8DD">
      <w:pPr>
        <w:rPr>
          <w:rFonts w:hint="default"/>
          <w:lang w:val="en-US" w:eastAsia="zh-CN"/>
        </w:rPr>
      </w:pPr>
    </w:p>
    <w:p w14:paraId="00C2E1EE">
      <w:pPr>
        <w:rPr>
          <w:rFonts w:hint="default"/>
          <w:lang w:val="en-US" w:eastAsia="zh-CN"/>
        </w:rPr>
        <w:sectPr>
          <w:pgSz w:w="16838" w:h="11906" w:orient="landscape"/>
          <w:pgMar w:top="1800" w:right="1440" w:bottom="1466" w:left="1440" w:header="850" w:footer="794" w:gutter="0"/>
          <w:pgBorders>
            <w:top w:val="none" w:sz="0" w:space="0"/>
            <w:left w:val="none" w:sz="0" w:space="0"/>
            <w:bottom w:val="none" w:sz="0" w:space="0"/>
            <w:right w:val="none" w:sz="0" w:space="0"/>
          </w:pgBorders>
          <w:pgNumType w:fmt="decimal"/>
          <w:cols w:space="720" w:num="1"/>
          <w:docGrid w:type="lines" w:linePitch="312" w:charSpace="0"/>
        </w:sectPr>
      </w:pPr>
    </w:p>
    <w:p w14:paraId="650BF490">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三甲南片区</w:t>
      </w:r>
      <w:r>
        <w:rPr>
          <w:rFonts w:hint="eastAsia" w:ascii="Times New Roman" w:hAnsi="Times New Roman" w:eastAsia="仿宋" w:cs="Times New Roman"/>
          <w:sz w:val="28"/>
          <w:szCs w:val="28"/>
          <w:highlight w:val="none"/>
          <w:lang w:val="en-US" w:eastAsia="zh-CN"/>
        </w:rPr>
        <w:t>片区面积4.2528公顷，片区内无公益性用地，公益性比例为0。</w:t>
      </w:r>
    </w:p>
    <w:p w14:paraId="3E3AC850">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米山北工业片区</w:t>
      </w:r>
      <w:r>
        <w:rPr>
          <w:rFonts w:hint="eastAsia" w:ascii="Times New Roman" w:hAnsi="Times New Roman" w:eastAsia="仿宋" w:cs="Times New Roman"/>
          <w:sz w:val="28"/>
          <w:szCs w:val="28"/>
          <w:highlight w:val="none"/>
          <w:lang w:val="en-US" w:eastAsia="zh-CN"/>
        </w:rPr>
        <w:t>部分位于开发区外，开发区外面积0.0009公顷，片区内无公益性用地，公益性比例为0；部分位于开发区内，开发区内面积36.5663公顷，片区内公益性用地2.4226公顷（全部为原有公益性用地），公益性比例为6.63%。</w:t>
      </w:r>
    </w:p>
    <w:p w14:paraId="39A65CF8">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米山道路片区</w:t>
      </w:r>
      <w:r>
        <w:rPr>
          <w:rFonts w:hint="eastAsia" w:ascii="Times New Roman" w:hAnsi="Times New Roman" w:eastAsia="仿宋" w:cs="Times New Roman"/>
          <w:sz w:val="28"/>
          <w:szCs w:val="28"/>
          <w:highlight w:val="none"/>
          <w:lang w:val="en-US" w:eastAsia="zh-CN"/>
        </w:rPr>
        <w:t>部分位于开发区外，开发区外面积3.1678公顷，片区内公益性用地3.1678公顷（全部为原有公益性用地），公益性比例为100%；部分位于开发区内，开发区内面积13.6793公顷，片区内公益性用地13.4503公顷（全部为原有公益性用地），公益性比例为95.33%。</w:t>
      </w:r>
    </w:p>
    <w:p w14:paraId="59EC44B2">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高铁新区A片区</w:t>
      </w:r>
      <w:r>
        <w:rPr>
          <w:rFonts w:hint="eastAsia" w:ascii="Times New Roman" w:hAnsi="Times New Roman" w:eastAsia="仿宋" w:cs="Times New Roman"/>
          <w:sz w:val="28"/>
          <w:szCs w:val="28"/>
          <w:highlight w:val="none"/>
          <w:lang w:val="en-US" w:eastAsia="zh-CN"/>
        </w:rPr>
        <w:t>面积1.9136公顷，片区内公益性用地1.4468公顷（全部为原有公益性用地），公益性比例为75.61%。</w:t>
      </w:r>
    </w:p>
    <w:p w14:paraId="12101746">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苏庄商业片区1</w:t>
      </w:r>
      <w:r>
        <w:rPr>
          <w:rFonts w:hint="eastAsia" w:ascii="Times New Roman" w:hAnsi="Times New Roman" w:eastAsia="仿宋" w:cs="Times New Roman"/>
          <w:sz w:val="28"/>
          <w:szCs w:val="28"/>
          <w:highlight w:val="none"/>
          <w:lang w:val="en-US" w:eastAsia="zh-CN"/>
        </w:rPr>
        <w:t>面积3.1105公顷，片区内公益性用地0.1192公顷（全部为原有公益性用地），公益性比例为3.83%。</w:t>
      </w:r>
    </w:p>
    <w:p w14:paraId="0E13676E">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苏庄商业片区2</w:t>
      </w:r>
      <w:r>
        <w:rPr>
          <w:rFonts w:hint="eastAsia" w:ascii="Times New Roman" w:hAnsi="Times New Roman" w:eastAsia="仿宋" w:cs="Times New Roman"/>
          <w:sz w:val="28"/>
          <w:szCs w:val="28"/>
          <w:highlight w:val="none"/>
          <w:lang w:val="en-US" w:eastAsia="zh-CN"/>
        </w:rPr>
        <w:t>面积1.0053公顷，片区内公益性用地0.8525公顷（全部为原有公益性用地），公益性比例为84.81%。</w:t>
      </w:r>
    </w:p>
    <w:p w14:paraId="6196191D">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许庄物流片区</w:t>
      </w:r>
      <w:r>
        <w:rPr>
          <w:rFonts w:hint="eastAsia" w:ascii="Times New Roman" w:hAnsi="Times New Roman" w:eastAsia="仿宋" w:cs="Times New Roman"/>
          <w:sz w:val="28"/>
          <w:szCs w:val="28"/>
          <w:highlight w:val="none"/>
          <w:lang w:val="en-US" w:eastAsia="zh-CN"/>
        </w:rPr>
        <w:t>面积2.1951公顷，片区内无公益性用地，公益性比例为0。</w:t>
      </w:r>
    </w:p>
    <w:p w14:paraId="6E28AECC">
      <w:pPr>
        <w:keepNext w:val="0"/>
        <w:keepLines w:val="0"/>
        <w:pageBreakBefore w:val="0"/>
        <w:widowControl w:val="0"/>
        <w:shd w:val="clear"/>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建宁商业片区</w:t>
      </w:r>
      <w:r>
        <w:rPr>
          <w:rFonts w:hint="eastAsia" w:ascii="Times New Roman" w:hAnsi="Times New Roman" w:eastAsia="仿宋" w:cs="Times New Roman"/>
          <w:sz w:val="28"/>
          <w:szCs w:val="28"/>
          <w:highlight w:val="none"/>
          <w:lang w:val="en-US" w:eastAsia="zh-CN"/>
        </w:rPr>
        <w:t>面积0.2077公顷，片区内无公益性用地，公益性比例为0。</w:t>
      </w:r>
    </w:p>
    <w:p w14:paraId="352DE2C6">
      <w:pPr>
        <w:pStyle w:val="3"/>
        <w:numPr>
          <w:ilvl w:val="1"/>
          <w:numId w:val="0"/>
        </w:numPr>
        <w:tabs>
          <w:tab w:val="clear" w:pos="420"/>
        </w:tabs>
        <w:bidi w:val="0"/>
        <w:ind w:left="575" w:leftChars="0" w:hanging="575" w:firstLineChars="0"/>
        <w:rPr>
          <w:rFonts w:hint="default"/>
          <w:sz w:val="32"/>
          <w:szCs w:val="32"/>
          <w:lang w:val="en-US" w:eastAsia="zh-CN"/>
        </w:rPr>
      </w:pPr>
      <w:bookmarkStart w:id="54" w:name="_Toc519"/>
      <w:r>
        <w:rPr>
          <w:rFonts w:hint="eastAsia" w:ascii="Times New Roman" w:hAnsi="Times New Roman" w:eastAsia="仿宋" w:cs="Times New Roman"/>
          <w:b/>
          <w:bCs/>
          <w:kern w:val="2"/>
          <w:sz w:val="32"/>
          <w:szCs w:val="32"/>
          <w:lang w:val="en-US" w:eastAsia="zh-CN"/>
        </w:rPr>
        <w:t>6.</w:t>
      </w:r>
      <w:r>
        <w:rPr>
          <w:rFonts w:hint="eastAsia" w:cs="Times New Roman"/>
          <w:b/>
          <w:bCs/>
          <w:kern w:val="2"/>
          <w:sz w:val="32"/>
          <w:szCs w:val="32"/>
          <w:lang w:val="en-US" w:eastAsia="zh-CN"/>
        </w:rPr>
        <w:t>5</w:t>
      </w:r>
      <w:r>
        <w:rPr>
          <w:rFonts w:hint="eastAsia" w:ascii="Times New Roman" w:hAnsi="Times New Roman" w:eastAsia="仿宋" w:cs="Times New Roman"/>
          <w:b/>
          <w:bCs/>
          <w:kern w:val="2"/>
          <w:sz w:val="32"/>
          <w:szCs w:val="32"/>
          <w:lang w:val="en-US" w:eastAsia="zh-CN"/>
        </w:rPr>
        <w:t>.</w:t>
      </w:r>
      <w:r>
        <w:rPr>
          <w:rFonts w:hint="eastAsia"/>
          <w:sz w:val="32"/>
          <w:szCs w:val="32"/>
          <w:lang w:val="en-US" w:eastAsia="zh-CN"/>
        </w:rPr>
        <w:t>永久基本农田</w:t>
      </w:r>
      <w:bookmarkEnd w:id="54"/>
    </w:p>
    <w:p w14:paraId="4C2BF75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本方案不占用永久基本农田。</w:t>
      </w:r>
    </w:p>
    <w:p w14:paraId="3B1D622F">
      <w:pPr>
        <w:pStyle w:val="3"/>
        <w:numPr>
          <w:ilvl w:val="1"/>
          <w:numId w:val="0"/>
        </w:numPr>
        <w:tabs>
          <w:tab w:val="clear" w:pos="420"/>
        </w:tabs>
        <w:bidi w:val="0"/>
        <w:ind w:left="575" w:leftChars="0" w:hanging="575" w:firstLineChars="0"/>
        <w:rPr>
          <w:rFonts w:hint="default"/>
          <w:color w:val="auto"/>
          <w:sz w:val="32"/>
          <w:szCs w:val="32"/>
          <w:highlight w:val="none"/>
          <w:lang w:val="en-US" w:eastAsia="zh-CN"/>
        </w:rPr>
      </w:pPr>
      <w:bookmarkStart w:id="55" w:name="_Toc13219"/>
      <w:r>
        <w:rPr>
          <w:rFonts w:hint="eastAsia" w:ascii="Times New Roman" w:hAnsi="Times New Roman" w:eastAsia="仿宋" w:cs="Times New Roman"/>
          <w:b/>
          <w:bCs/>
          <w:color w:val="auto"/>
          <w:kern w:val="2"/>
          <w:sz w:val="32"/>
          <w:szCs w:val="32"/>
          <w:lang w:val="en-US" w:eastAsia="zh-CN"/>
        </w:rPr>
        <w:t>6.</w:t>
      </w:r>
      <w:r>
        <w:rPr>
          <w:rFonts w:hint="eastAsia" w:cs="Times New Roman"/>
          <w:b/>
          <w:bCs/>
          <w:color w:val="auto"/>
          <w:kern w:val="2"/>
          <w:sz w:val="32"/>
          <w:szCs w:val="32"/>
          <w:lang w:val="en-US" w:eastAsia="zh-CN"/>
        </w:rPr>
        <w:t>6</w:t>
      </w:r>
      <w:r>
        <w:rPr>
          <w:rFonts w:hint="eastAsia" w:ascii="Times New Roman" w:hAnsi="Times New Roman" w:eastAsia="仿宋" w:cs="Times New Roman"/>
          <w:b/>
          <w:bCs/>
          <w:color w:val="auto"/>
          <w:kern w:val="2"/>
          <w:sz w:val="32"/>
          <w:szCs w:val="32"/>
          <w:lang w:val="en-US" w:eastAsia="zh-CN"/>
        </w:rPr>
        <w:t>.</w:t>
      </w:r>
      <w:r>
        <w:rPr>
          <w:rFonts w:hint="default"/>
          <w:color w:val="auto"/>
          <w:sz w:val="32"/>
          <w:szCs w:val="32"/>
          <w:lang w:val="en-US" w:eastAsia="zh-CN"/>
        </w:rPr>
        <w:t>批而未供和闲置土地情况</w:t>
      </w:r>
      <w:bookmarkEnd w:id="50"/>
      <w:bookmarkEnd w:id="51"/>
      <w:bookmarkEnd w:id="52"/>
      <w:bookmarkEnd w:id="55"/>
    </w:p>
    <w:p w14:paraId="5914073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2023年高平市批而未供需处置656.91亩。年度完成595.64亩，完成年度任务的90.67%。</w:t>
      </w:r>
    </w:p>
    <w:p w14:paraId="44FAE5F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2023年高平市闲置土地处置任务量为4.48亩，未完成，2025年3月底前完成处置任务</w:t>
      </w:r>
      <w:r>
        <w:rPr>
          <w:rFonts w:hint="default" w:ascii="Times New Roman" w:hAnsi="Times New Roman" w:eastAsia="仿宋" w:cs="Times New Roman"/>
          <w:color w:val="auto"/>
          <w:sz w:val="28"/>
          <w:szCs w:val="28"/>
          <w:highlight w:val="none"/>
          <w:lang w:val="en-US" w:eastAsia="zh-CN"/>
        </w:rPr>
        <w:t>。</w:t>
      </w:r>
      <w:bookmarkStart w:id="105" w:name="_GoBack"/>
      <w:bookmarkEnd w:id="105"/>
    </w:p>
    <w:p w14:paraId="6398B340">
      <w:pPr>
        <w:pStyle w:val="3"/>
        <w:numPr>
          <w:ilvl w:val="1"/>
          <w:numId w:val="0"/>
        </w:numPr>
        <w:tabs>
          <w:tab w:val="clear" w:pos="420"/>
        </w:tabs>
        <w:bidi w:val="0"/>
        <w:ind w:left="575" w:leftChars="0" w:hanging="575" w:firstLineChars="0"/>
        <w:rPr>
          <w:rFonts w:hint="default"/>
          <w:sz w:val="32"/>
          <w:szCs w:val="32"/>
          <w:highlight w:val="none"/>
        </w:rPr>
      </w:pPr>
      <w:bookmarkStart w:id="56" w:name="_Toc32695"/>
      <w:r>
        <w:rPr>
          <w:rFonts w:hint="eastAsia" w:ascii="Times New Roman" w:hAnsi="Times New Roman" w:eastAsia="仿宋" w:cs="Times New Roman"/>
          <w:b/>
          <w:bCs/>
          <w:kern w:val="2"/>
          <w:sz w:val="32"/>
          <w:szCs w:val="32"/>
          <w:highlight w:val="none"/>
          <w:lang w:val="en-US" w:eastAsia="zh-CN"/>
        </w:rPr>
        <w:t>6.</w:t>
      </w:r>
      <w:r>
        <w:rPr>
          <w:rFonts w:hint="eastAsia" w:cs="Times New Roman"/>
          <w:b/>
          <w:bCs/>
          <w:kern w:val="2"/>
          <w:sz w:val="32"/>
          <w:szCs w:val="32"/>
          <w:highlight w:val="none"/>
          <w:lang w:val="en-US" w:eastAsia="zh-CN"/>
        </w:rPr>
        <w:t>7</w:t>
      </w:r>
      <w:r>
        <w:rPr>
          <w:rFonts w:hint="eastAsia" w:ascii="Times New Roman" w:hAnsi="Times New Roman" w:eastAsia="仿宋" w:cs="Times New Roman"/>
          <w:b/>
          <w:bCs/>
          <w:kern w:val="2"/>
          <w:sz w:val="32"/>
          <w:szCs w:val="32"/>
          <w:highlight w:val="none"/>
          <w:lang w:val="en-US" w:eastAsia="zh-CN"/>
        </w:rPr>
        <w:t>.</w:t>
      </w:r>
      <w:r>
        <w:rPr>
          <w:rFonts w:hint="eastAsia"/>
          <w:sz w:val="32"/>
          <w:szCs w:val="32"/>
          <w:highlight w:val="none"/>
          <w:lang w:val="en-US" w:eastAsia="zh-CN"/>
        </w:rPr>
        <w:t>开发区</w:t>
      </w:r>
      <w:r>
        <w:rPr>
          <w:rFonts w:hint="default"/>
          <w:sz w:val="32"/>
          <w:szCs w:val="32"/>
          <w:highlight w:val="none"/>
        </w:rPr>
        <w:t>土地利用效率情况</w:t>
      </w:r>
      <w:bookmarkEnd w:id="56"/>
    </w:p>
    <w:p w14:paraId="223C96A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本《方案》</w:t>
      </w:r>
      <w:r>
        <w:rPr>
          <w:rFonts w:hint="eastAsia" w:ascii="Times New Roman" w:hAnsi="Times New Roman" w:eastAsia="仿宋" w:cs="Times New Roman"/>
          <w:color w:val="auto"/>
          <w:sz w:val="28"/>
          <w:szCs w:val="28"/>
          <w:lang w:val="en-US" w:eastAsia="zh-CN"/>
        </w:rPr>
        <w:t>涉及的众禾周边地块征地和米山园区职工宿舍项目的投资强度在200万元/亩以上，米A征地（泫氏铸管）1、米A征地（泫氏铸管）2项目的投资强度在400万元/亩以上。符合省级工业类开发区新上工业项目的投资强度不低于200万元/亩的要求</w:t>
      </w:r>
      <w:r>
        <w:rPr>
          <w:rFonts w:hint="default" w:ascii="Times New Roman" w:hAnsi="Times New Roman" w:eastAsia="仿宋" w:cs="Times New Roman"/>
          <w:color w:val="auto"/>
          <w:sz w:val="28"/>
          <w:szCs w:val="28"/>
          <w:lang w:val="en-US" w:eastAsia="zh-CN"/>
        </w:rPr>
        <w:t>。</w:t>
      </w:r>
    </w:p>
    <w:p w14:paraId="3E52EA59">
      <w:pPr>
        <w:pStyle w:val="3"/>
        <w:numPr>
          <w:ilvl w:val="1"/>
          <w:numId w:val="0"/>
        </w:numPr>
        <w:tabs>
          <w:tab w:val="clear" w:pos="420"/>
        </w:tabs>
        <w:bidi w:val="0"/>
        <w:ind w:left="575" w:leftChars="0" w:hanging="575" w:firstLineChars="0"/>
        <w:rPr>
          <w:rFonts w:hint="default"/>
          <w:color w:val="auto"/>
          <w:sz w:val="32"/>
          <w:szCs w:val="32"/>
          <w:lang w:val="en-US" w:eastAsia="zh-CN"/>
        </w:rPr>
      </w:pPr>
      <w:bookmarkStart w:id="57" w:name="_Toc57365274"/>
      <w:bookmarkStart w:id="58" w:name="_Toc17924"/>
      <w:bookmarkStart w:id="59" w:name="_Toc16372"/>
      <w:bookmarkStart w:id="60" w:name="_Toc32512"/>
      <w:r>
        <w:rPr>
          <w:rFonts w:hint="eastAsia" w:ascii="Times New Roman" w:hAnsi="Times New Roman" w:eastAsia="仿宋" w:cs="Times New Roman"/>
          <w:b/>
          <w:bCs/>
          <w:color w:val="auto"/>
          <w:kern w:val="2"/>
          <w:sz w:val="32"/>
          <w:szCs w:val="32"/>
          <w:lang w:val="en-US" w:eastAsia="zh-CN"/>
        </w:rPr>
        <w:t>6.</w:t>
      </w:r>
      <w:r>
        <w:rPr>
          <w:rFonts w:hint="eastAsia" w:cs="Times New Roman"/>
          <w:b/>
          <w:bCs/>
          <w:color w:val="auto"/>
          <w:kern w:val="2"/>
          <w:sz w:val="32"/>
          <w:szCs w:val="32"/>
          <w:lang w:val="en-US" w:eastAsia="zh-CN"/>
        </w:rPr>
        <w:t>8</w:t>
      </w:r>
      <w:r>
        <w:rPr>
          <w:rFonts w:hint="eastAsia" w:ascii="Times New Roman" w:hAnsi="Times New Roman" w:eastAsia="仿宋" w:cs="Times New Roman"/>
          <w:b/>
          <w:bCs/>
          <w:color w:val="auto"/>
          <w:kern w:val="2"/>
          <w:sz w:val="32"/>
          <w:szCs w:val="32"/>
          <w:lang w:val="en-US" w:eastAsia="zh-CN"/>
        </w:rPr>
        <w:t>.</w:t>
      </w:r>
      <w:r>
        <w:rPr>
          <w:rFonts w:hint="default"/>
          <w:color w:val="auto"/>
          <w:sz w:val="32"/>
          <w:szCs w:val="32"/>
          <w:lang w:val="en-US" w:eastAsia="zh-CN"/>
        </w:rPr>
        <w:t>已批准土地征收成片开发方案实施情况</w:t>
      </w:r>
      <w:bookmarkEnd w:id="57"/>
      <w:bookmarkEnd w:id="58"/>
      <w:bookmarkEnd w:id="59"/>
      <w:bookmarkEnd w:id="60"/>
    </w:p>
    <w:p w14:paraId="54ED12B7">
      <w:pPr>
        <w:spacing w:line="240" w:lineRule="auto"/>
        <w:ind w:firstLine="640"/>
        <w:rPr>
          <w:rFonts w:hint="default" w:ascii="Times New Roman" w:hAnsi="Times New Roman" w:eastAsia="仿宋" w:cs="Times New Roman"/>
          <w:color w:val="FF0000"/>
          <w:sz w:val="28"/>
          <w:szCs w:val="32"/>
          <w:highlight w:val="none"/>
          <w:lang w:val="en-US" w:eastAsia="zh-CN" w:bidi="ar-SA"/>
        </w:rPr>
      </w:pP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年</w:t>
      </w:r>
      <w:r>
        <w:rPr>
          <w:rFonts w:hint="eastAsia" w:ascii="Times New Roman" w:hAnsi="Times New Roman"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lang w:val="en-US" w:eastAsia="zh-CN"/>
        </w:rPr>
        <w:t>月</w:t>
      </w:r>
      <w:r>
        <w:rPr>
          <w:rFonts w:hint="eastAsia" w:ascii="Times New Roman" w:hAnsi="Times New Roman" w:eastAsia="仿宋" w:cs="Times New Roman"/>
          <w:color w:val="auto"/>
          <w:sz w:val="28"/>
          <w:szCs w:val="28"/>
          <w:highlight w:val="none"/>
          <w:lang w:val="en-US" w:eastAsia="zh-CN"/>
        </w:rPr>
        <w:t>18</w:t>
      </w:r>
      <w:r>
        <w:rPr>
          <w:rFonts w:hint="default" w:ascii="Times New Roman" w:hAnsi="Times New Roman" w:eastAsia="仿宋" w:cs="Times New Roman"/>
          <w:color w:val="auto"/>
          <w:sz w:val="28"/>
          <w:szCs w:val="28"/>
          <w:highlight w:val="none"/>
          <w:lang w:val="en-US" w:eastAsia="zh-CN"/>
        </w:rPr>
        <w:t>日，晋城市人民政府以（晋市政函〔202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号）对《</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》进行了批复。《</w:t>
      </w:r>
      <w:r>
        <w:rPr>
          <w:rFonts w:hint="eastAsia" w:ascii="Times New Roman" w:hAnsi="Times New Roman" w:eastAsia="仿宋" w:cs="Times New Roman"/>
          <w:color w:val="auto"/>
          <w:sz w:val="28"/>
          <w:szCs w:val="28"/>
          <w:highlight w:val="none"/>
          <w:lang w:val="en-US" w:eastAsia="zh-CN"/>
        </w:rPr>
        <w:t>高平市</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-202</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年土地征收成片开发</w:t>
      </w:r>
      <w:r>
        <w:rPr>
          <w:rFonts w:hint="eastAsia" w:ascii="Times New Roman" w:hAnsi="Times New Roman" w:eastAsia="仿宋" w:cs="Times New Roman"/>
          <w:color w:val="auto"/>
          <w:sz w:val="28"/>
          <w:szCs w:val="28"/>
          <w:highlight w:val="none"/>
          <w:lang w:val="en-US" w:eastAsia="zh-CN"/>
        </w:rPr>
        <w:t>调整方案</w:t>
      </w:r>
      <w:r>
        <w:rPr>
          <w:rFonts w:hint="default" w:ascii="Times New Roman" w:hAnsi="Times New Roman" w:eastAsia="仿宋" w:cs="Times New Roman"/>
          <w:color w:val="auto"/>
          <w:sz w:val="28"/>
          <w:szCs w:val="28"/>
          <w:highlight w:val="none"/>
          <w:lang w:val="en-US" w:eastAsia="zh-CN"/>
        </w:rPr>
        <w:t>》共划定</w:t>
      </w:r>
      <w:r>
        <w:rPr>
          <w:rFonts w:hint="eastAsia" w:ascii="Times New Roman" w:hAnsi="Times New Roman" w:eastAsia="仿宋" w:cs="Times New Roman"/>
          <w:color w:val="auto"/>
          <w:sz w:val="28"/>
          <w:szCs w:val="28"/>
          <w:highlight w:val="none"/>
          <w:lang w:val="en-US" w:eastAsia="zh-CN"/>
        </w:rPr>
        <w:t>成片开发片区面积共计300.3612公顷，涉及32个项目共32个地块，用地总面积127.2707公顷，其中农用地面积62.2365公顷(耕地40.5016公顷、园地0.5395公顷、林地15.3857公顷、草地1.1883公顷、其他农用地4.6214公顷)，建设用地面积65.0342公顷，涉及10个乡镇（街道）25个村（社区），土地权属明晰无争议。成片开发区域符合高平市国民经济和社会发展规划、国土空间规划，符合“三线一单”生态红线管控要求，不涉及生态保护红线和永久基本农田。上期方案在保护耕地，维护被征地农民的合法权益，节约集约用地，生态环境保护等方面起到了积极作用，促进了</w:t>
      </w:r>
      <w:r>
        <w:rPr>
          <w:rFonts w:hint="eastAsia" w:ascii="Times New Roman" w:hAnsi="Times New Roman" w:eastAsia="仿宋" w:cs="Times New Roman"/>
          <w:sz w:val="28"/>
          <w:szCs w:val="32"/>
          <w:highlight w:val="none"/>
          <w:lang w:val="en-US" w:eastAsia="zh-CN" w:bidi="ar-SA"/>
        </w:rPr>
        <w:t>高平市</w:t>
      </w:r>
      <w:r>
        <w:rPr>
          <w:rFonts w:hint="eastAsia" w:ascii="Times New Roman" w:hAnsi="Times New Roman" w:eastAsia="仿宋" w:cs="Times New Roman"/>
          <w:color w:val="auto"/>
          <w:sz w:val="28"/>
          <w:szCs w:val="28"/>
          <w:highlight w:val="none"/>
          <w:lang w:val="en-US" w:eastAsia="zh-CN"/>
        </w:rPr>
        <w:t>经济社会可持续发展。</w:t>
      </w:r>
    </w:p>
    <w:p w14:paraId="20057C88">
      <w:pPr>
        <w:spacing w:line="240" w:lineRule="auto"/>
        <w:ind w:firstLine="640"/>
        <w:rPr>
          <w:rFonts w:hint="default" w:ascii="Times New Roman" w:hAnsi="Times New Roman" w:eastAsia="仿宋" w:cs="Times New Roman"/>
          <w:color w:val="FF0000"/>
          <w:sz w:val="28"/>
          <w:szCs w:val="28"/>
          <w:lang w:val="en-US" w:eastAsia="zh-CN"/>
        </w:rPr>
      </w:pPr>
      <w:bookmarkStart w:id="61" w:name="_Toc26568"/>
      <w:bookmarkStart w:id="62" w:name="_Toc32393"/>
    </w:p>
    <w:p w14:paraId="6DA4470B">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br w:type="page"/>
      </w:r>
    </w:p>
    <w:p w14:paraId="3E83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i w:val="0"/>
          <w:iCs w:val="0"/>
          <w:snapToGrid w:val="0"/>
          <w:color w:val="000000"/>
          <w:kern w:val="0"/>
          <w:sz w:val="24"/>
          <w:szCs w:val="24"/>
          <w:u w:val="none"/>
          <w:lang w:val="en-US" w:eastAsia="zh-CN" w:bidi="ar"/>
        </w:rPr>
        <w:sectPr>
          <w:footerReference r:id="rId7" w:type="default"/>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pPr>
    </w:p>
    <w:p w14:paraId="1DA9A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i w:val="0"/>
          <w:iCs w:val="0"/>
          <w:snapToGrid w:val="0"/>
          <w:color w:val="000000"/>
          <w:kern w:val="0"/>
          <w:sz w:val="24"/>
          <w:szCs w:val="24"/>
          <w:u w:val="none"/>
          <w:lang w:val="en-US" w:eastAsia="zh-CN"/>
        </w:rPr>
      </w:pPr>
      <w:r>
        <w:rPr>
          <w:rFonts w:hint="default" w:ascii="Times New Roman" w:hAnsi="Times New Roman" w:eastAsia="仿宋" w:cs="Times New Roman"/>
          <w:b w:val="0"/>
          <w:bCs w:val="0"/>
          <w:i w:val="0"/>
          <w:iCs w:val="0"/>
          <w:snapToGrid w:val="0"/>
          <w:color w:val="000000"/>
          <w:kern w:val="0"/>
          <w:sz w:val="24"/>
          <w:szCs w:val="24"/>
          <w:u w:val="none"/>
          <w:lang w:val="en-US" w:eastAsia="zh-CN" w:bidi="ar"/>
        </w:rPr>
        <w:t>表6-</w:t>
      </w:r>
      <w:r>
        <w:rPr>
          <w:rFonts w:hint="eastAsia" w:ascii="Times New Roman" w:hAnsi="Times New Roman" w:eastAsia="仿宋" w:cs="Times New Roman"/>
          <w:b w:val="0"/>
          <w:bCs w:val="0"/>
          <w:i w:val="0"/>
          <w:iCs w:val="0"/>
          <w:snapToGrid w:val="0"/>
          <w:color w:val="000000"/>
          <w:kern w:val="0"/>
          <w:sz w:val="24"/>
          <w:szCs w:val="24"/>
          <w:u w:val="none"/>
          <w:lang w:val="en-US" w:eastAsia="zh-CN" w:bidi="ar"/>
        </w:rPr>
        <w:t>2</w:t>
      </w:r>
      <w:r>
        <w:rPr>
          <w:rFonts w:hint="default" w:ascii="Times New Roman" w:hAnsi="Times New Roman" w:eastAsia="仿宋" w:cs="Times New Roman"/>
          <w:b w:val="0"/>
          <w:bCs w:val="0"/>
          <w:i w:val="0"/>
          <w:iCs w:val="0"/>
          <w:snapToGrid w:val="0"/>
          <w:color w:val="000000"/>
          <w:kern w:val="0"/>
          <w:sz w:val="24"/>
          <w:szCs w:val="24"/>
          <w:u w:val="none"/>
          <w:lang w:val="en-US" w:eastAsia="zh-CN" w:bidi="ar"/>
        </w:rPr>
        <w:t xml:space="preserve"> 《高平市2022-2023年土地征收成片开发调整方案》项目用地开发时序及实施情况表</w:t>
      </w:r>
    </w:p>
    <w:p w14:paraId="4B3EC89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 w:cs="Times New Roman"/>
          <w:i w:val="0"/>
          <w:iCs w:val="0"/>
          <w:snapToGrid w:val="0"/>
          <w:color w:val="000000"/>
          <w:kern w:val="0"/>
          <w:sz w:val="24"/>
          <w:szCs w:val="24"/>
          <w:u w:val="none"/>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rPr>
        <w:t>单位： 公顷</w:t>
      </w:r>
    </w:p>
    <w:tbl>
      <w:tblPr>
        <w:tblStyle w:val="18"/>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2669"/>
        <w:gridCol w:w="1502"/>
        <w:gridCol w:w="1261"/>
        <w:gridCol w:w="3558"/>
        <w:gridCol w:w="1337"/>
        <w:gridCol w:w="1354"/>
        <w:gridCol w:w="1323"/>
      </w:tblGrid>
      <w:tr w14:paraId="4772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C314">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片区序号</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5055">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成片开发范围名称</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C3DF">
            <w:pPr>
              <w:jc w:val="center"/>
              <w:rPr>
                <w:rFonts w:hint="eastAsia"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地块</w:t>
            </w:r>
          </w:p>
          <w:p w14:paraId="1C0091FF">
            <w:pPr>
              <w:jc w:val="center"/>
              <w:rPr>
                <w:rFonts w:hint="eastAsia"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编号</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C4B8">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项目序号</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ABBB">
            <w:pPr>
              <w:jc w:val="center"/>
              <w:rPr>
                <w:rFonts w:hint="default" w:ascii="Times New Roman" w:hAnsi="Times New Roman" w:eastAsia="仿宋" w:cs="Times New Roman"/>
                <w:b/>
                <w:bCs/>
                <w:i w:val="0"/>
                <w:iCs w:val="0"/>
                <w:color w:val="auto"/>
                <w:sz w:val="21"/>
                <w:szCs w:val="21"/>
                <w:u w:val="none"/>
                <w:lang w:val="en-US" w:eastAsia="zh-CN"/>
              </w:rPr>
            </w:pPr>
            <w:r>
              <w:rPr>
                <w:rFonts w:hint="default" w:ascii="Times New Roman" w:hAnsi="Times New Roman" w:eastAsia="仿宋" w:cs="Times New Roman"/>
                <w:b/>
                <w:bCs/>
                <w:i w:val="0"/>
                <w:iCs w:val="0"/>
                <w:color w:val="auto"/>
                <w:sz w:val="21"/>
                <w:szCs w:val="21"/>
                <w:u w:val="none"/>
                <w:lang w:val="en-US" w:eastAsia="zh-CN"/>
              </w:rPr>
              <w:t>建设项目</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AB09">
            <w:pPr>
              <w:jc w:val="center"/>
              <w:rPr>
                <w:rFonts w:hint="default" w:ascii="Times New Roman" w:hAnsi="Times New Roman" w:eastAsia="仿宋" w:cs="Times New Roman"/>
                <w:b/>
                <w:bCs/>
                <w:i w:val="0"/>
                <w:iCs w:val="0"/>
                <w:color w:val="auto"/>
                <w:sz w:val="21"/>
                <w:szCs w:val="21"/>
                <w:u w:val="none"/>
                <w:lang w:val="en-US" w:eastAsia="zh-CN"/>
              </w:rPr>
            </w:pPr>
            <w:r>
              <w:rPr>
                <w:rFonts w:hint="default" w:ascii="Times New Roman" w:hAnsi="Times New Roman" w:eastAsia="仿宋" w:cs="Times New Roman"/>
                <w:b/>
                <w:bCs/>
                <w:i w:val="0"/>
                <w:iCs w:val="0"/>
                <w:color w:val="auto"/>
                <w:sz w:val="21"/>
                <w:szCs w:val="21"/>
                <w:u w:val="none"/>
                <w:lang w:val="en-US" w:eastAsia="zh-CN"/>
              </w:rPr>
              <w:t>实施年度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AD35">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项目</w:t>
            </w:r>
            <w:r>
              <w:rPr>
                <w:rFonts w:hint="default" w:ascii="Times New Roman" w:hAnsi="Times New Roman" w:eastAsia="仿宋" w:cs="Times New Roman"/>
                <w:b/>
                <w:bCs/>
                <w:i w:val="0"/>
                <w:iCs w:val="0"/>
                <w:color w:val="auto"/>
                <w:sz w:val="21"/>
                <w:szCs w:val="21"/>
                <w:u w:val="none"/>
                <w:lang w:val="en-US" w:eastAsia="zh-CN"/>
              </w:rPr>
              <w:t>面积</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E046">
            <w:pPr>
              <w:jc w:val="center"/>
              <w:rPr>
                <w:rFonts w:hint="default" w:ascii="Times New Roman" w:hAnsi="Times New Roman" w:eastAsia="仿宋" w:cs="Times New Roman"/>
                <w:b/>
                <w:bCs/>
                <w:i w:val="0"/>
                <w:iCs w:val="0"/>
                <w:color w:val="auto"/>
                <w:sz w:val="21"/>
                <w:szCs w:val="21"/>
                <w:u w:val="none"/>
                <w:lang w:val="en-US" w:eastAsia="zh-CN"/>
              </w:rPr>
            </w:pPr>
            <w:r>
              <w:rPr>
                <w:rFonts w:hint="eastAsia" w:ascii="Times New Roman" w:hAnsi="Times New Roman" w:eastAsia="仿宋" w:cs="Times New Roman"/>
                <w:b/>
                <w:bCs/>
                <w:i w:val="0"/>
                <w:iCs w:val="0"/>
                <w:color w:val="auto"/>
                <w:sz w:val="21"/>
                <w:szCs w:val="21"/>
                <w:u w:val="none"/>
                <w:lang w:val="en-US" w:eastAsia="zh-CN"/>
              </w:rPr>
              <w:t>实施情况</w:t>
            </w:r>
          </w:p>
        </w:tc>
      </w:tr>
      <w:tr w14:paraId="1D11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B41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D76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西北综合服务片区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18A8">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BC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5F1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八中</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F53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015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4.6028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7D7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EA6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521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874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北部新城片区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2BB3">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A27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5EB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丹凤街康养项目</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64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8C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10.2010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987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00C7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693EAA9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1E63661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城北商业片区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58D2">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51D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1ED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电视台南边商住用地1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7EA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064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3.4162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114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F51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F2E7DAA">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26BB7DBA">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522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C51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7C6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电视台南边商住用地2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34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A9E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6.7172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8A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866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7E3BD886">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40C1A26A">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25C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BBA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2BC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南赵庄世纪佳苑商住用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64C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204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1.0999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005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FBD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641F11B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4</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50F65BE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南城片区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A5DC">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8EF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E13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091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80A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3.2316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852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2D6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25C4F85A">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7ACFA349">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BF1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219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7</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48E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43E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E7F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3.9903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DC5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033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EF40290">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5CA73380">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5CF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336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A8E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6FE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BB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0.0882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F07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F15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4AEB46D">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34DF4F97">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353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地块-09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0F6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9</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2D3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新建路4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10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138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1.1002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B12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100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7A110C14">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7E81A703">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B4B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157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6EE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南内环1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F56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58D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5.8323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436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B61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0EFF7A12">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4405BCB1">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EED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22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DF1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南内环2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DDD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94B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2.7651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1FF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2EE6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262A700C">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5F5D5C4C">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AB1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C45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9B5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南内环3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26CD">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C52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0.0568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823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67C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35CB91B1">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63C9A526">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9D4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EF7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13</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237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公安局北边商住用地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E39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75F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7.5630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9324">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41D2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2E2C751F">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64232ED1">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C7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C39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46F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环卫一体化</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429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AFC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2.4941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07B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0CD7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1A74">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5</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506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丹河东部片区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3369">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A0B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E03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七中</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B57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117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1.6223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2A8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59A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26D773B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6</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412BB16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高铁新区</w:t>
            </w:r>
            <w:r>
              <w:rPr>
                <w:rFonts w:hint="default" w:ascii="Times New Roman" w:hAnsi="Times New Roman" w:eastAsia="仿宋" w:cs="Times New Roman"/>
                <w:i w:val="0"/>
                <w:iCs w:val="0"/>
                <w:color w:val="auto"/>
                <w:sz w:val="21"/>
                <w:szCs w:val="21"/>
                <w:u w:val="none"/>
                <w:lang w:val="en-US" w:eastAsia="zh-CN"/>
              </w:rPr>
              <w:t>B</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AF9D">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728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EF7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台湾产业园物流园地块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B68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26A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1.5235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279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AD9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3BF9B16B">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6A3BE510">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5B7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D77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17</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35F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台湾产业园污水厂补征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9A8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026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0.3063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C0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2AF3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73F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7</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EA0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北诗片区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5451">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502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2BD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北诗村供电所</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129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352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0.2290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3EC7">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0D8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5CE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8</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E92E">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神农片区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79D6">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F71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19</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31F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阜外医院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465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3BC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8.4240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A0A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428D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0DF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9</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C3C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野川</w:t>
            </w:r>
            <w:r>
              <w:rPr>
                <w:rFonts w:hint="default" w:ascii="Times New Roman" w:hAnsi="Times New Roman" w:eastAsia="仿宋" w:cs="Times New Roman"/>
                <w:i w:val="0"/>
                <w:iCs w:val="0"/>
                <w:color w:val="auto"/>
                <w:sz w:val="21"/>
                <w:szCs w:val="21"/>
                <w:u w:val="none"/>
                <w:lang w:val="en-US" w:eastAsia="zh-CN"/>
              </w:rPr>
              <w:t>A</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8C34">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9D13">
            <w:pPr>
              <w:jc w:val="center"/>
              <w:rPr>
                <w:rFonts w:hint="eastAsia"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5FC4">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野川镇安置房</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147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w:t>
            </w:r>
            <w:r>
              <w:rPr>
                <w:rFonts w:hint="eastAsia" w:ascii="Times New Roman" w:hAnsi="Times New Roman" w:eastAsia="仿宋" w:cs="Times New Roman"/>
                <w:i w:val="0"/>
                <w:iCs w:val="0"/>
                <w:color w:val="auto"/>
                <w:sz w:val="21"/>
                <w:szCs w:val="21"/>
                <w:u w:val="none"/>
                <w:lang w:val="en-US" w:eastAsia="zh-CN"/>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009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0.4775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5CA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6E8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16B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10</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1A8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体育馆片区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EB60">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1F1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729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体育馆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707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852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3.8897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64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F17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AAC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11</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1B1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文化馆片区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2441">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D22A">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E85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文化馆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A3C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9E9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4.0393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7D7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6DD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17B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12</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B3F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市三污片区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C709">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1CF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23</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5D8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市第三污水处理厂</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964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274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1.1891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F11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CE1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343E949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13</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756E925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马村工业园</w:t>
            </w:r>
            <w:r>
              <w:rPr>
                <w:rFonts w:hint="default" w:ascii="Times New Roman" w:hAnsi="Times New Roman" w:eastAsia="仿宋" w:cs="Times New Roman"/>
                <w:i w:val="0"/>
                <w:iCs w:val="0"/>
                <w:color w:val="auto"/>
                <w:sz w:val="21"/>
                <w:szCs w:val="21"/>
                <w:u w:val="none"/>
                <w:lang w:val="en-US" w:eastAsia="zh-CN"/>
              </w:rPr>
              <w:t>A1</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C811">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551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A03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海诺东1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13D3">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22B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10.4616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FE5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70ED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3A2FB4FA">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5467EA50">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9766">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EEC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454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海诺东2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3104">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65A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5.0569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7AD1">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5D8D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right w:val="single" w:color="000000" w:sz="4" w:space="0"/>
            </w:tcBorders>
            <w:shd w:val="clear" w:color="auto" w:fill="auto"/>
            <w:noWrap/>
            <w:vAlign w:val="center"/>
          </w:tcPr>
          <w:p w14:paraId="22455906">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right w:val="single" w:color="000000" w:sz="4" w:space="0"/>
            </w:tcBorders>
            <w:shd w:val="clear" w:color="auto" w:fill="auto"/>
            <w:noWrap/>
            <w:vAlign w:val="center"/>
          </w:tcPr>
          <w:p w14:paraId="304A4289">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2BF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C4EE">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DC3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搅拌站1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5102">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AF0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3.9172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C0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C63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68AFA639">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74DEAE56">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FC2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9A4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27</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D21">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搅拌站2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F378">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66C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1.9882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D152">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6A54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C85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14</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C48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马村工业园</w:t>
            </w:r>
            <w:r>
              <w:rPr>
                <w:rFonts w:hint="default" w:ascii="Times New Roman" w:hAnsi="Times New Roman" w:eastAsia="仿宋" w:cs="Times New Roman"/>
                <w:i w:val="0"/>
                <w:iCs w:val="0"/>
                <w:color w:val="auto"/>
                <w:sz w:val="21"/>
                <w:szCs w:val="21"/>
                <w:u w:val="none"/>
                <w:lang w:val="en-US" w:eastAsia="zh-CN"/>
              </w:rPr>
              <w:t>A2</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9D1B">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A5C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0EE3">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马村不锈钢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132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6D6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21.3088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BB03">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C9D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restart"/>
            <w:tcBorders>
              <w:top w:val="single" w:color="000000" w:sz="4" w:space="0"/>
              <w:left w:val="single" w:color="000000" w:sz="4" w:space="0"/>
              <w:right w:val="single" w:color="000000" w:sz="4" w:space="0"/>
            </w:tcBorders>
            <w:shd w:val="clear" w:color="auto" w:fill="auto"/>
            <w:noWrap/>
            <w:vAlign w:val="center"/>
          </w:tcPr>
          <w:p w14:paraId="7EC2E8B0">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15</w:t>
            </w:r>
          </w:p>
        </w:tc>
        <w:tc>
          <w:tcPr>
            <w:tcW w:w="942" w:type="pct"/>
            <w:vMerge w:val="restart"/>
            <w:tcBorders>
              <w:top w:val="single" w:color="000000" w:sz="4" w:space="0"/>
              <w:left w:val="single" w:color="000000" w:sz="4" w:space="0"/>
              <w:right w:val="single" w:color="000000" w:sz="4" w:space="0"/>
            </w:tcBorders>
            <w:shd w:val="clear" w:color="auto" w:fill="auto"/>
            <w:noWrap/>
            <w:vAlign w:val="center"/>
          </w:tcPr>
          <w:p w14:paraId="478ADF6C">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米山工业园</w:t>
            </w:r>
            <w:r>
              <w:rPr>
                <w:rFonts w:hint="default" w:ascii="Times New Roman" w:hAnsi="Times New Roman" w:eastAsia="仿宋" w:cs="Times New Roman"/>
                <w:i w:val="0"/>
                <w:iCs w:val="0"/>
                <w:color w:val="auto"/>
                <w:sz w:val="21"/>
                <w:szCs w:val="21"/>
                <w:u w:val="none"/>
                <w:lang w:val="en-US" w:eastAsia="zh-CN"/>
              </w:rPr>
              <w:t>B1</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8E0">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698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29</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88B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二广物流园二期</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C92A">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730E">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8.0759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3E66">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200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vMerge w:val="continue"/>
            <w:tcBorders>
              <w:left w:val="single" w:color="000000" w:sz="4" w:space="0"/>
              <w:bottom w:val="single" w:color="000000" w:sz="4" w:space="0"/>
              <w:right w:val="single" w:color="000000" w:sz="4" w:space="0"/>
            </w:tcBorders>
            <w:shd w:val="clear" w:color="auto" w:fill="auto"/>
            <w:noWrap/>
            <w:vAlign w:val="center"/>
          </w:tcPr>
          <w:p w14:paraId="5ACA3A82">
            <w:pPr>
              <w:jc w:val="center"/>
              <w:rPr>
                <w:rFonts w:hint="default" w:ascii="Times New Roman" w:hAnsi="Times New Roman" w:eastAsia="仿宋" w:cs="Times New Roman"/>
                <w:i w:val="0"/>
                <w:iCs w:val="0"/>
                <w:color w:val="auto"/>
                <w:sz w:val="21"/>
                <w:szCs w:val="21"/>
                <w:u w:val="none"/>
                <w:lang w:val="en-US" w:eastAsia="zh-CN"/>
              </w:rPr>
            </w:pPr>
          </w:p>
        </w:tc>
        <w:tc>
          <w:tcPr>
            <w:tcW w:w="942" w:type="pct"/>
            <w:vMerge w:val="continue"/>
            <w:tcBorders>
              <w:left w:val="single" w:color="000000" w:sz="4" w:space="0"/>
              <w:bottom w:val="single" w:color="000000" w:sz="4" w:space="0"/>
              <w:right w:val="single" w:color="000000" w:sz="4" w:space="0"/>
            </w:tcBorders>
            <w:shd w:val="clear" w:color="auto" w:fill="auto"/>
            <w:noWrap/>
            <w:vAlign w:val="center"/>
          </w:tcPr>
          <w:p w14:paraId="2D9154EC">
            <w:pPr>
              <w:jc w:val="center"/>
              <w:rPr>
                <w:rFonts w:hint="default" w:ascii="Times New Roman" w:hAnsi="Times New Roman" w:eastAsia="仿宋" w:cs="Times New Roman"/>
                <w:i w:val="0"/>
                <w:iCs w:val="0"/>
                <w:color w:val="auto"/>
                <w:sz w:val="21"/>
                <w:szCs w:val="21"/>
                <w:u w:val="none"/>
                <w:lang w:val="en-US" w:eastAsia="zh-CN"/>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98C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A2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1437">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明园路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539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AC6B">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1.5283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1B5D">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1C90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D4F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16</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863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米山工业园</w:t>
            </w:r>
            <w:r>
              <w:rPr>
                <w:rFonts w:hint="default" w:ascii="Times New Roman" w:hAnsi="Times New Roman" w:eastAsia="仿宋" w:cs="Times New Roman"/>
                <w:i w:val="0"/>
                <w:iCs w:val="0"/>
                <w:color w:val="auto"/>
                <w:sz w:val="21"/>
                <w:szCs w:val="21"/>
                <w:u w:val="none"/>
                <w:lang w:val="en-US" w:eastAsia="zh-CN"/>
              </w:rPr>
              <w:t>B2</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08E7">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地块-31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D1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F60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米兴桥南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6BC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E2E0">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0.0298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667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0E1E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0F39">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17</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DECB">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米山工业园</w:t>
            </w:r>
            <w:r>
              <w:rPr>
                <w:rFonts w:hint="default" w:ascii="Times New Roman" w:hAnsi="Times New Roman" w:eastAsia="仿宋" w:cs="Times New Roman"/>
                <w:i w:val="0"/>
                <w:iCs w:val="0"/>
                <w:color w:val="auto"/>
                <w:sz w:val="21"/>
                <w:szCs w:val="21"/>
                <w:u w:val="none"/>
                <w:lang w:val="en-US" w:eastAsia="zh-CN"/>
              </w:rPr>
              <w:t>B3</w:t>
            </w:r>
            <w:r>
              <w:rPr>
                <w:rFonts w:hint="eastAsia" w:ascii="Times New Roman" w:hAnsi="Times New Roman" w:eastAsia="仿宋" w:cs="Times New Roman"/>
                <w:i w:val="0"/>
                <w:iCs w:val="0"/>
                <w:color w:val="auto"/>
                <w:sz w:val="21"/>
                <w:szCs w:val="21"/>
                <w:u w:val="none"/>
                <w:lang w:val="en-US" w:eastAsia="zh-CN"/>
              </w:rPr>
              <w:t>片区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5569">
            <w:pPr>
              <w:jc w:val="center"/>
              <w:rPr>
                <w:rFonts w:hint="eastAsia"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地块-32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1D38">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32</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6CDF">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米兴桥北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EBC9">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2024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E10C">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 xml:space="preserve">0.0446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555F">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已完成</w:t>
            </w:r>
          </w:p>
        </w:tc>
      </w:tr>
      <w:tr w14:paraId="327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05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F935">
            <w:pPr>
              <w:jc w:val="center"/>
              <w:rPr>
                <w:rFonts w:hint="default" w:ascii="Times New Roman" w:hAnsi="Times New Roman" w:eastAsia="仿宋" w:cs="Times New Roman"/>
                <w:i w:val="0"/>
                <w:iCs w:val="0"/>
                <w:color w:val="auto"/>
                <w:sz w:val="21"/>
                <w:szCs w:val="21"/>
                <w:u w:val="none"/>
                <w:lang w:val="en-US" w:eastAsia="zh-CN"/>
              </w:rPr>
            </w:pPr>
            <w:r>
              <w:rPr>
                <w:rFonts w:hint="eastAsia" w:ascii="Times New Roman" w:hAnsi="Times New Roman" w:eastAsia="仿宋" w:cs="Times New Roman"/>
                <w:i w:val="0"/>
                <w:iCs w:val="0"/>
                <w:color w:val="auto"/>
                <w:sz w:val="21"/>
                <w:szCs w:val="21"/>
                <w:u w:val="none"/>
                <w:lang w:val="en-US" w:eastAsia="zh-CN"/>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0905">
            <w:pPr>
              <w:jc w:val="center"/>
              <w:rPr>
                <w:rFonts w:hint="default" w:ascii="Times New Roman" w:hAnsi="Times New Roman" w:eastAsia="仿宋" w:cs="Times New Roman"/>
                <w:i w:val="0"/>
                <w:iCs w:val="0"/>
                <w:color w:val="auto"/>
                <w:sz w:val="21"/>
                <w:szCs w:val="21"/>
                <w:u w:val="none"/>
                <w:lang w:val="en-US" w:eastAsia="zh-CN"/>
              </w:rPr>
            </w:pPr>
            <w:r>
              <w:rPr>
                <w:rFonts w:hint="default" w:ascii="Times New Roman" w:hAnsi="Times New Roman" w:eastAsia="仿宋" w:cs="Times New Roman"/>
                <w:i w:val="0"/>
                <w:iCs w:val="0"/>
                <w:color w:val="auto"/>
                <w:sz w:val="21"/>
                <w:szCs w:val="21"/>
                <w:u w:val="none"/>
                <w:lang w:val="en-US" w:eastAsia="zh-CN"/>
              </w:rPr>
              <w:t>127.2707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6FB0">
            <w:pPr>
              <w:jc w:val="center"/>
              <w:rPr>
                <w:rFonts w:hint="default" w:ascii="Times New Roman" w:hAnsi="Times New Roman" w:eastAsia="仿宋" w:cs="Times New Roman"/>
                <w:i w:val="0"/>
                <w:iCs w:val="0"/>
                <w:color w:val="auto"/>
                <w:sz w:val="21"/>
                <w:szCs w:val="21"/>
                <w:u w:val="none"/>
                <w:lang w:val="en-US" w:eastAsia="zh-CN"/>
              </w:rPr>
            </w:pPr>
          </w:p>
        </w:tc>
      </w:tr>
    </w:tbl>
    <w:p w14:paraId="7FB5CF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i w:val="0"/>
          <w:iCs w:val="0"/>
          <w:snapToGrid w:val="0"/>
          <w:color w:val="000000"/>
          <w:kern w:val="0"/>
          <w:sz w:val="24"/>
          <w:szCs w:val="24"/>
          <w:u w:val="none"/>
          <w:lang w:val="en-US" w:eastAsia="zh-CN"/>
        </w:rPr>
      </w:pPr>
    </w:p>
    <w:p w14:paraId="590DAC29">
      <w:pPr>
        <w:spacing w:line="240" w:lineRule="auto"/>
        <w:rPr>
          <w:rFonts w:hint="default"/>
          <w:sz w:val="21"/>
          <w:szCs w:val="21"/>
        </w:rPr>
        <w:sectPr>
          <w:pgSz w:w="16838" w:h="11906" w:orient="landscape"/>
          <w:pgMar w:top="1800" w:right="1440" w:bottom="1466" w:left="1440" w:header="850" w:footer="794"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sz w:val="21"/>
          <w:szCs w:val="21"/>
        </w:rPr>
        <w:br w:type="page"/>
      </w:r>
    </w:p>
    <w:p w14:paraId="7EE0EDA4">
      <w:pPr>
        <w:pStyle w:val="2"/>
        <w:numPr>
          <w:ilvl w:val="0"/>
          <w:numId w:val="0"/>
        </w:numPr>
        <w:bidi w:val="0"/>
        <w:ind w:left="432" w:leftChars="0" w:hanging="432" w:firstLineChars="0"/>
        <w:jc w:val="both"/>
        <w:rPr>
          <w:rFonts w:hint="default"/>
          <w:sz w:val="40"/>
          <w:szCs w:val="40"/>
          <w:lang w:val="en-US" w:eastAsia="zh-CN"/>
        </w:rPr>
      </w:pPr>
      <w:bookmarkStart w:id="63" w:name="_Toc25169"/>
      <w:bookmarkStart w:id="64" w:name="_Toc31813"/>
      <w:r>
        <w:rPr>
          <w:rFonts w:hint="default" w:ascii="Times New Roman" w:hAnsi="Times New Roman" w:eastAsia="仿宋" w:cs="Times New Roman"/>
          <w:b/>
          <w:bCs/>
          <w:kern w:val="44"/>
          <w:sz w:val="40"/>
          <w:szCs w:val="40"/>
          <w:lang w:val="en-US" w:eastAsia="zh-CN"/>
        </w:rPr>
        <w:t>7.</w:t>
      </w:r>
      <w:r>
        <w:rPr>
          <w:rFonts w:hint="default"/>
          <w:sz w:val="40"/>
          <w:szCs w:val="40"/>
          <w:lang w:val="en-US" w:eastAsia="zh-CN"/>
        </w:rPr>
        <w:t>效益评估</w:t>
      </w:r>
      <w:bookmarkEnd w:id="61"/>
      <w:bookmarkEnd w:id="62"/>
      <w:bookmarkEnd w:id="63"/>
      <w:bookmarkEnd w:id="64"/>
    </w:p>
    <w:p w14:paraId="1367146A">
      <w:pPr>
        <w:pStyle w:val="3"/>
        <w:numPr>
          <w:ilvl w:val="1"/>
          <w:numId w:val="0"/>
        </w:numPr>
        <w:tabs>
          <w:tab w:val="clear" w:pos="420"/>
        </w:tabs>
        <w:bidi w:val="0"/>
        <w:ind w:left="575" w:leftChars="0" w:hanging="575" w:firstLineChars="0"/>
        <w:rPr>
          <w:rFonts w:hint="default"/>
          <w:sz w:val="32"/>
          <w:szCs w:val="32"/>
          <w:lang w:val="en-US" w:eastAsia="zh-CN"/>
        </w:rPr>
      </w:pPr>
      <w:bookmarkStart w:id="65" w:name="_Toc8621"/>
      <w:bookmarkStart w:id="66" w:name="_Toc4428"/>
      <w:bookmarkStart w:id="67" w:name="_Toc30018"/>
      <w:bookmarkStart w:id="68" w:name="_Toc20711"/>
      <w:bookmarkStart w:id="69" w:name="_Toc19953"/>
      <w:bookmarkStart w:id="70" w:name="_Toc9625"/>
      <w:bookmarkStart w:id="71" w:name="_Toc12252"/>
      <w:r>
        <w:rPr>
          <w:rFonts w:hint="eastAsia" w:ascii="Times New Roman" w:hAnsi="Times New Roman" w:eastAsia="仿宋" w:cs="Times New Roman"/>
          <w:b/>
          <w:bCs/>
          <w:kern w:val="2"/>
          <w:sz w:val="32"/>
          <w:szCs w:val="32"/>
          <w:lang w:val="en-US" w:eastAsia="zh-CN"/>
        </w:rPr>
        <w:t>7.1.</w:t>
      </w:r>
      <w:r>
        <w:rPr>
          <w:rFonts w:hint="default"/>
          <w:sz w:val="32"/>
          <w:szCs w:val="32"/>
          <w:lang w:val="en-US" w:eastAsia="zh-CN"/>
        </w:rPr>
        <w:t>土地利用效益</w:t>
      </w:r>
      <w:bookmarkEnd w:id="65"/>
      <w:bookmarkEnd w:id="66"/>
      <w:bookmarkEnd w:id="67"/>
      <w:bookmarkEnd w:id="68"/>
      <w:bookmarkEnd w:id="69"/>
    </w:p>
    <w:bookmarkEnd w:id="70"/>
    <w:bookmarkEnd w:id="71"/>
    <w:p w14:paraId="56512CE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成片开发方案</w:t>
      </w:r>
      <w:r>
        <w:rPr>
          <w:rFonts w:hint="default" w:ascii="Times New Roman" w:hAnsi="Times New Roman" w:eastAsia="仿宋" w:cs="Times New Roman"/>
          <w:sz w:val="28"/>
          <w:szCs w:val="28"/>
        </w:rPr>
        <w:t>有利于优化片区内新增建设用地空间布局，满足</w:t>
      </w:r>
      <w:r>
        <w:rPr>
          <w:rFonts w:hint="eastAsia" w:ascii="Times New Roman" w:hAnsi="Times New Roman" w:eastAsia="仿宋" w:cs="Times New Roman"/>
          <w:sz w:val="28"/>
          <w:szCs w:val="28"/>
          <w:lang w:val="en-US" w:eastAsia="zh-CN"/>
        </w:rPr>
        <w:t>高平市</w:t>
      </w:r>
      <w:r>
        <w:rPr>
          <w:rFonts w:hint="default" w:ascii="Times New Roman" w:hAnsi="Times New Roman" w:eastAsia="仿宋" w:cs="Times New Roman"/>
          <w:sz w:val="28"/>
          <w:szCs w:val="28"/>
        </w:rPr>
        <w:t>现代产业及宜居城市建设发展需求，实现土地集约节约利用；同时可加强存量建设用地效能提升，为缓解</w:t>
      </w:r>
      <w:r>
        <w:rPr>
          <w:rFonts w:hint="eastAsia" w:ascii="Times New Roman" w:hAnsi="Times New Roman" w:eastAsia="仿宋" w:cs="Times New Roman"/>
          <w:sz w:val="28"/>
          <w:szCs w:val="28"/>
          <w:lang w:val="en-US" w:eastAsia="zh-CN"/>
        </w:rPr>
        <w:t>高平市</w:t>
      </w:r>
      <w:r>
        <w:rPr>
          <w:rFonts w:hint="default" w:ascii="Times New Roman" w:hAnsi="Times New Roman" w:eastAsia="仿宋" w:cs="Times New Roman"/>
          <w:sz w:val="28"/>
          <w:szCs w:val="28"/>
        </w:rPr>
        <w:t>建成区用地供需矛盾提供有效抓手，提高建设用地集约利用水平，推动</w:t>
      </w:r>
      <w:r>
        <w:rPr>
          <w:rFonts w:hint="eastAsia" w:ascii="Times New Roman" w:hAnsi="Times New Roman" w:eastAsia="仿宋" w:cs="Times New Roman"/>
          <w:sz w:val="28"/>
          <w:szCs w:val="28"/>
          <w:lang w:val="en-US" w:eastAsia="zh-CN"/>
        </w:rPr>
        <w:t>高平市</w:t>
      </w:r>
      <w:r>
        <w:rPr>
          <w:rFonts w:hint="default" w:ascii="Times New Roman" w:hAnsi="Times New Roman" w:eastAsia="仿宋" w:cs="Times New Roman"/>
          <w:sz w:val="28"/>
          <w:szCs w:val="28"/>
        </w:rPr>
        <w:t>土地利用向集约型高质量发展转变。方案的编制实施可从土地资源供给侧促进战略性新兴产业发展与城市功能完善，避免以往大量单一功能土地征收造成的城市功能缺位问题。</w:t>
      </w:r>
    </w:p>
    <w:p w14:paraId="15B8203E">
      <w:pPr>
        <w:pStyle w:val="3"/>
        <w:numPr>
          <w:ilvl w:val="1"/>
          <w:numId w:val="0"/>
        </w:numPr>
        <w:tabs>
          <w:tab w:val="clear" w:pos="420"/>
        </w:tabs>
        <w:bidi w:val="0"/>
        <w:ind w:left="575" w:leftChars="0" w:hanging="575" w:firstLineChars="0"/>
        <w:rPr>
          <w:rFonts w:hint="default"/>
          <w:sz w:val="32"/>
          <w:szCs w:val="32"/>
          <w:lang w:val="en-US" w:eastAsia="zh-CN"/>
        </w:rPr>
      </w:pPr>
      <w:bookmarkStart w:id="72" w:name="_Toc29741"/>
      <w:bookmarkStart w:id="73" w:name="_Toc16720"/>
      <w:bookmarkStart w:id="74" w:name="_Toc18860"/>
      <w:bookmarkStart w:id="75" w:name="_Toc27490"/>
      <w:r>
        <w:rPr>
          <w:rFonts w:hint="eastAsia" w:ascii="Times New Roman" w:hAnsi="Times New Roman" w:eastAsia="仿宋" w:cs="Times New Roman"/>
          <w:b/>
          <w:bCs/>
          <w:kern w:val="2"/>
          <w:sz w:val="32"/>
          <w:szCs w:val="32"/>
          <w:lang w:val="en-US" w:eastAsia="zh-CN"/>
        </w:rPr>
        <w:t>7.2.</w:t>
      </w:r>
      <w:r>
        <w:rPr>
          <w:rFonts w:hint="default"/>
          <w:sz w:val="32"/>
          <w:szCs w:val="32"/>
          <w:lang w:val="en-US" w:eastAsia="zh-CN"/>
        </w:rPr>
        <w:t>经济效益</w:t>
      </w:r>
      <w:bookmarkEnd w:id="72"/>
    </w:p>
    <w:p w14:paraId="080E5F0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通过本次成片开发的实施，将提升高平市产业的战略定位和功能定位，突出产业主导和特色，规划引进新的发展产业，成片开发项目的建设将推动和聚集符合当地资源特点的产业，优化资源配置，提高资源的利用率，降低能耗，提高土地的综合利用率。</w:t>
      </w:r>
    </w:p>
    <w:p w14:paraId="19A2DB8F">
      <w:pPr>
        <w:spacing w:line="240" w:lineRule="auto"/>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本方案将进一步优化布局米山、三甲工业产业集聚区发展，加速补齐市域经济发展短板，</w:t>
      </w:r>
      <w:r>
        <w:rPr>
          <w:rFonts w:hint="eastAsia" w:ascii="Times New Roman" w:hAnsi="Times New Roman" w:eastAsia="仿宋" w:cs="Times New Roman"/>
          <w:sz w:val="28"/>
          <w:szCs w:val="28"/>
          <w:lang w:val="en-US" w:eastAsia="zh-CN"/>
        </w:rPr>
        <w:t>推动高铁新城建设，以高铁片区为载体带动产业升级，</w:t>
      </w:r>
      <w:r>
        <w:rPr>
          <w:rFonts w:hint="default" w:ascii="Times New Roman" w:hAnsi="Times New Roman" w:eastAsia="仿宋" w:cs="Times New Roman"/>
          <w:sz w:val="28"/>
          <w:szCs w:val="28"/>
          <w:lang w:val="en-US" w:eastAsia="zh-CN"/>
        </w:rPr>
        <w:t>增加市级财政收入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将</w:t>
      </w:r>
      <w:r>
        <w:rPr>
          <w:rFonts w:hint="eastAsia" w:ascii="Times New Roman" w:hAnsi="Times New Roman" w:eastAsia="仿宋" w:cs="Times New Roman"/>
          <w:sz w:val="28"/>
          <w:szCs w:val="28"/>
          <w:lang w:val="en-US" w:eastAsia="zh-CN"/>
        </w:rPr>
        <w:t>喜镇苏庄</w:t>
      </w:r>
      <w:r>
        <w:rPr>
          <w:rFonts w:hint="default" w:ascii="Times New Roman" w:hAnsi="Times New Roman" w:eastAsia="仿宋" w:cs="Times New Roman"/>
          <w:sz w:val="28"/>
          <w:szCs w:val="28"/>
          <w:lang w:val="en-US" w:eastAsia="zh-CN"/>
        </w:rPr>
        <w:t>打造为高平市重要旅游吸引</w:t>
      </w:r>
      <w:r>
        <w:rPr>
          <w:rFonts w:hint="eastAsia" w:ascii="Times New Roman" w:hAnsi="Times New Roman" w:eastAsia="仿宋" w:cs="Times New Roman"/>
          <w:sz w:val="28"/>
          <w:szCs w:val="28"/>
          <w:lang w:val="en-US" w:eastAsia="zh-CN"/>
        </w:rPr>
        <w:t>点</w:t>
      </w:r>
      <w:r>
        <w:rPr>
          <w:rFonts w:hint="default" w:ascii="Times New Roman" w:hAnsi="Times New Roman" w:eastAsia="仿宋" w:cs="Times New Roman"/>
          <w:sz w:val="28"/>
          <w:szCs w:val="28"/>
          <w:lang w:val="en-US" w:eastAsia="zh-CN"/>
        </w:rPr>
        <w:t>，提升规划区招商引资能力，再通</w:t>
      </w:r>
      <w:r>
        <w:rPr>
          <w:rFonts w:hint="eastAsia" w:ascii="Times New Roman" w:hAnsi="Times New Roman" w:eastAsia="仿宋" w:cs="Times New Roman"/>
          <w:sz w:val="28"/>
          <w:szCs w:val="28"/>
          <w:lang w:val="en-US" w:eastAsia="zh-CN"/>
        </w:rPr>
        <w:t>新能源等相关</w:t>
      </w:r>
      <w:r>
        <w:rPr>
          <w:rFonts w:hint="default" w:ascii="Times New Roman" w:hAnsi="Times New Roman" w:eastAsia="仿宋" w:cs="Times New Roman"/>
          <w:sz w:val="28"/>
          <w:szCs w:val="28"/>
          <w:lang w:val="en-US" w:eastAsia="zh-CN"/>
        </w:rPr>
        <w:t>产业</w:t>
      </w:r>
      <w:r>
        <w:rPr>
          <w:rFonts w:hint="eastAsia"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lang w:val="en-US" w:eastAsia="zh-CN"/>
        </w:rPr>
        <w:t>发展，构建全域相互支撑的产品体系，实现旅游人数的快速增长，可强有力地推动高平市和晋城市的经济发展。</w:t>
      </w:r>
    </w:p>
    <w:p w14:paraId="2CB44A6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通过本《方案》的实施，项目建设可带动多个行业和相关产业的发展，有利于拉动国民经济增长和财政增收，有利于促进</w:t>
      </w:r>
      <w:r>
        <w:rPr>
          <w:rFonts w:hint="eastAsia" w:ascii="Times New Roman" w:hAnsi="Times New Roman" w:eastAsia="仿宋" w:cs="Times New Roman"/>
          <w:sz w:val="28"/>
          <w:szCs w:val="28"/>
          <w:lang w:val="en-US" w:eastAsia="zh-CN"/>
        </w:rPr>
        <w:t>旅游业</w:t>
      </w:r>
      <w:r>
        <w:rPr>
          <w:rFonts w:hint="default" w:ascii="Times New Roman" w:hAnsi="Times New Roman" w:eastAsia="仿宋" w:cs="Times New Roman"/>
          <w:sz w:val="28"/>
          <w:szCs w:val="28"/>
          <w:lang w:val="en-US" w:eastAsia="zh-CN"/>
        </w:rPr>
        <w:t>的发展与物流产业的发展，有利于提高第三产业比重，促进国民经济协调发展，有利于改善投资环境。项目建设完成后，综合收益稳定，并能够为基础设施配套和公益项目建设提供更多的资金保障。</w:t>
      </w:r>
    </w:p>
    <w:p w14:paraId="5D85BA16">
      <w:pPr>
        <w:pStyle w:val="3"/>
        <w:numPr>
          <w:ilvl w:val="1"/>
          <w:numId w:val="0"/>
        </w:numPr>
        <w:tabs>
          <w:tab w:val="clear" w:pos="420"/>
        </w:tabs>
        <w:bidi w:val="0"/>
        <w:ind w:left="575" w:leftChars="0" w:hanging="575" w:firstLineChars="0"/>
        <w:rPr>
          <w:rFonts w:hint="default"/>
          <w:sz w:val="32"/>
          <w:szCs w:val="32"/>
          <w:lang w:val="en-US" w:eastAsia="zh-CN"/>
        </w:rPr>
      </w:pPr>
      <w:bookmarkStart w:id="76" w:name="_Toc11527"/>
      <w:r>
        <w:rPr>
          <w:rFonts w:hint="eastAsia" w:ascii="Times New Roman" w:hAnsi="Times New Roman" w:eastAsia="仿宋" w:cs="Times New Roman"/>
          <w:b/>
          <w:bCs/>
          <w:kern w:val="2"/>
          <w:sz w:val="32"/>
          <w:szCs w:val="32"/>
          <w:lang w:val="en-US" w:eastAsia="zh-CN"/>
        </w:rPr>
        <w:t>7.3.</w:t>
      </w:r>
      <w:r>
        <w:rPr>
          <w:rFonts w:hint="default"/>
          <w:sz w:val="32"/>
          <w:szCs w:val="32"/>
          <w:lang w:val="en-US" w:eastAsia="zh-CN"/>
        </w:rPr>
        <w:t>社会效益</w:t>
      </w:r>
      <w:bookmarkEnd w:id="73"/>
      <w:bookmarkEnd w:id="74"/>
      <w:bookmarkEnd w:id="75"/>
      <w:bookmarkEnd w:id="76"/>
    </w:p>
    <w:p w14:paraId="13E0BF1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经本次土地征收成片开发，能够促进产业转型升级、完善区域各项设施配套、提升城镇服务综合能力，提高当地居民收入水平。本次成片开发方案通过提升区内城镇服务综合能力，优化产业结构和产业空间布局，吸引企业入驻发展，带动地方人才市场，产生更多的就业机会，缓解本地居民就业压力。</w:t>
      </w:r>
    </w:p>
    <w:p w14:paraId="62613D5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米山北工业园片区将充分发挥产业集聚区的政策优势和聚集辐射效应，带动相关行业的发展，完善本区域的基础设施，提高招商引资的能力，带动市及周边的一体化发展。项目建成后，不仅可以提供大量的普通就业岗位，进一步增加当地居民收入，还需要大量的高级技术人才、管理人才，有助于解决劳动就业问题，吸引优秀人才扎根高平。</w:t>
      </w:r>
    </w:p>
    <w:p w14:paraId="73AD9C3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lang w:val="en-US" w:eastAsia="zh-CN"/>
        </w:rPr>
        <w:t>高铁、苏庄商业片区的建设利于满足居民日益增长的消费需求，完善该中心城区的城镇生活居住、商业和服务业等功能，有助于优化城市空间布局，提升城市的整体形象和品质；商场的建设和发展也能够带动周</w:t>
      </w:r>
      <w:r>
        <w:rPr>
          <w:rFonts w:hint="eastAsia" w:ascii="Times New Roman" w:hAnsi="Times New Roman" w:eastAsia="仿宋" w:cs="Times New Roman"/>
          <w:sz w:val="28"/>
          <w:szCs w:val="28"/>
          <w:highlight w:val="none"/>
          <w:lang w:val="en-US" w:eastAsia="zh-CN"/>
        </w:rPr>
        <w:t>边区域的更新和改造，提升城市的宜居性和可持续性。</w:t>
      </w:r>
    </w:p>
    <w:p w14:paraId="66BC699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eastAsia" w:ascii="Times New Roman" w:hAnsi="Times New Roman" w:eastAsia="仿宋" w:cs="Times New Roman"/>
          <w:sz w:val="28"/>
          <w:szCs w:val="28"/>
          <w:highlight w:val="none"/>
          <w:lang w:val="en-US" w:eastAsia="zh-CN"/>
        </w:rPr>
        <w:t>成片开发方案划定后，开发区内成片开发区域的公益性用地占比增加到29.13%</w:t>
      </w:r>
      <w:r>
        <w:rPr>
          <w:rFonts w:hint="eastAsia"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sz w:val="28"/>
          <w:szCs w:val="28"/>
          <w:highlight w:val="none"/>
          <w:lang w:val="en-US" w:eastAsia="zh-CN"/>
        </w:rPr>
        <w:t>开发区外其他成片开发区域的公益性用地占比增加到48.16%。城市</w:t>
      </w:r>
      <w:r>
        <w:rPr>
          <w:rFonts w:hint="eastAsia" w:ascii="Times New Roman" w:hAnsi="Times New Roman" w:eastAsia="仿宋" w:cs="Times New Roman"/>
          <w:sz w:val="28"/>
          <w:szCs w:val="28"/>
          <w:lang w:val="en-US" w:eastAsia="zh-CN"/>
        </w:rPr>
        <w:t>绿地的建设满足了人居生活环境品质的提升；市政道路的配套完善，完善了高平市的交通网络，提升生活便利度与满意度；基础设施的建设，进一步满足生产、生活的基础需求。</w:t>
      </w:r>
    </w:p>
    <w:p w14:paraId="6A7283C8">
      <w:pPr>
        <w:pStyle w:val="3"/>
        <w:numPr>
          <w:ilvl w:val="1"/>
          <w:numId w:val="0"/>
        </w:numPr>
        <w:tabs>
          <w:tab w:val="clear" w:pos="420"/>
        </w:tabs>
        <w:bidi w:val="0"/>
        <w:ind w:left="575" w:leftChars="0" w:hanging="575" w:firstLineChars="0"/>
        <w:rPr>
          <w:rFonts w:hint="default"/>
          <w:sz w:val="32"/>
          <w:szCs w:val="32"/>
          <w:lang w:val="en-US" w:eastAsia="zh-CN"/>
        </w:rPr>
      </w:pPr>
      <w:bookmarkStart w:id="77" w:name="_Toc20222"/>
      <w:bookmarkStart w:id="78" w:name="_Toc7623"/>
      <w:bookmarkStart w:id="79" w:name="_Toc18403"/>
      <w:bookmarkStart w:id="80" w:name="_Toc6949"/>
      <w:r>
        <w:rPr>
          <w:rFonts w:hint="eastAsia" w:ascii="Times New Roman" w:hAnsi="Times New Roman" w:eastAsia="仿宋" w:cs="Times New Roman"/>
          <w:b/>
          <w:bCs/>
          <w:kern w:val="2"/>
          <w:sz w:val="32"/>
          <w:szCs w:val="32"/>
          <w:lang w:val="en-US" w:eastAsia="zh-CN"/>
        </w:rPr>
        <w:t>7.4.</w:t>
      </w:r>
      <w:r>
        <w:rPr>
          <w:rFonts w:hint="default"/>
          <w:sz w:val="32"/>
          <w:szCs w:val="32"/>
          <w:lang w:val="en-US" w:eastAsia="zh-CN"/>
        </w:rPr>
        <w:t>生态效益</w:t>
      </w:r>
      <w:bookmarkEnd w:id="77"/>
      <w:bookmarkEnd w:id="78"/>
      <w:bookmarkEnd w:id="79"/>
      <w:bookmarkEnd w:id="80"/>
    </w:p>
    <w:p w14:paraId="72BC46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片开发片区范围内不涉及占用永久基本农田、生态保护红线和自然保护地，符合生态环境保护要求。对于涉及生态控制线、绿线、蓝线等生态底线管控要素的，做好衔接工作，不破环不污染生态环境，同时加强生态环境建设，促进区域经济可持续发展，有利于营造良好的片区空间环境，提升生态环境质量。</w:t>
      </w:r>
    </w:p>
    <w:p w14:paraId="66DE4723">
      <w:pPr>
        <w:rPr>
          <w:rFonts w:hint="default" w:ascii="Times New Roman" w:hAnsi="Times New Roman" w:eastAsia="仿宋" w:cs="Times New Roman"/>
          <w:b/>
          <w:bCs/>
          <w:kern w:val="44"/>
          <w:sz w:val="40"/>
          <w:szCs w:val="40"/>
          <w:lang w:val="en-US" w:eastAsia="zh-CN"/>
        </w:rPr>
      </w:pPr>
      <w:r>
        <w:rPr>
          <w:rFonts w:hint="default" w:ascii="Times New Roman" w:hAnsi="Times New Roman" w:eastAsia="仿宋" w:cs="Times New Roman"/>
          <w:b/>
          <w:bCs/>
          <w:kern w:val="44"/>
          <w:sz w:val="40"/>
          <w:szCs w:val="40"/>
          <w:lang w:val="en-US" w:eastAsia="zh-CN"/>
        </w:rPr>
        <w:br w:type="page"/>
      </w:r>
    </w:p>
    <w:p w14:paraId="4F060B79">
      <w:pPr>
        <w:pStyle w:val="2"/>
        <w:numPr>
          <w:ilvl w:val="0"/>
          <w:numId w:val="0"/>
        </w:numPr>
        <w:bidi w:val="0"/>
        <w:ind w:left="432" w:leftChars="0" w:hanging="432" w:firstLineChars="0"/>
        <w:jc w:val="both"/>
        <w:rPr>
          <w:rFonts w:hint="default"/>
          <w:sz w:val="40"/>
          <w:szCs w:val="40"/>
        </w:rPr>
      </w:pPr>
      <w:bookmarkStart w:id="81" w:name="_Toc24257"/>
      <w:r>
        <w:rPr>
          <w:rFonts w:hint="eastAsia" w:cs="Times New Roman"/>
          <w:b/>
          <w:bCs/>
          <w:kern w:val="44"/>
          <w:sz w:val="40"/>
          <w:szCs w:val="40"/>
          <w:lang w:val="en-US" w:eastAsia="zh-CN"/>
        </w:rPr>
        <w:t>8</w:t>
      </w:r>
      <w:r>
        <w:rPr>
          <w:rFonts w:hint="default" w:ascii="Times New Roman" w:hAnsi="Times New Roman" w:eastAsia="仿宋" w:cs="Times New Roman"/>
          <w:b/>
          <w:bCs/>
          <w:kern w:val="44"/>
          <w:sz w:val="40"/>
          <w:szCs w:val="40"/>
          <w:lang w:val="en-US" w:eastAsia="zh-CN"/>
        </w:rPr>
        <w:t>.</w:t>
      </w:r>
      <w:r>
        <w:rPr>
          <w:rFonts w:hint="eastAsia"/>
          <w:sz w:val="40"/>
          <w:szCs w:val="40"/>
          <w:lang w:val="en-US" w:eastAsia="zh-CN"/>
        </w:rPr>
        <w:t>保障措施</w:t>
      </w:r>
      <w:bookmarkEnd w:id="81"/>
    </w:p>
    <w:p w14:paraId="4D9A9794">
      <w:pPr>
        <w:pStyle w:val="3"/>
        <w:numPr>
          <w:ilvl w:val="1"/>
          <w:numId w:val="0"/>
        </w:numPr>
        <w:tabs>
          <w:tab w:val="clear" w:pos="420"/>
        </w:tabs>
        <w:bidi w:val="0"/>
        <w:ind w:left="575" w:leftChars="0" w:hanging="575" w:firstLineChars="0"/>
        <w:rPr>
          <w:rFonts w:hint="default"/>
          <w:sz w:val="32"/>
          <w:szCs w:val="32"/>
          <w:lang w:val="en-US" w:eastAsia="zh-CN"/>
        </w:rPr>
      </w:pPr>
      <w:bookmarkStart w:id="82" w:name="_Toc1107"/>
      <w:bookmarkStart w:id="83" w:name="_Toc31939"/>
      <w:bookmarkStart w:id="84" w:name="_Toc26628"/>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.1.</w:t>
      </w:r>
      <w:r>
        <w:rPr>
          <w:rFonts w:hint="default"/>
          <w:sz w:val="32"/>
          <w:szCs w:val="32"/>
          <w:lang w:val="en-US" w:eastAsia="zh-CN"/>
        </w:rPr>
        <w:t>加强政策宣传，营造良好社会舆论氛围</w:t>
      </w:r>
      <w:bookmarkEnd w:id="82"/>
      <w:bookmarkEnd w:id="83"/>
      <w:bookmarkEnd w:id="84"/>
    </w:p>
    <w:p w14:paraId="572A18F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土地征收前应加强农村征地相关法律法规知识和政策的宣传与普及，相关部门可采取丰富多样的形式深入宣传普及《中华人民共和国土地管理法》等，通过全方位、立体化、高密度的宣传，使广大被征地农户能够了解相关法律政策，赢得群众的理解、支持、参与，引导农户在依法维护自身合法权益的同时，能够积极配合征地工作顺利开展，为征地拆迁工作顺利进行营造良好的社会环境和舆论氛围。</w:t>
      </w:r>
    </w:p>
    <w:p w14:paraId="66FBCCC7">
      <w:pPr>
        <w:pStyle w:val="3"/>
        <w:numPr>
          <w:ilvl w:val="1"/>
          <w:numId w:val="0"/>
        </w:numPr>
        <w:tabs>
          <w:tab w:val="clear" w:pos="420"/>
        </w:tabs>
        <w:bidi w:val="0"/>
        <w:ind w:left="575" w:leftChars="0" w:hanging="575" w:firstLineChars="0"/>
        <w:rPr>
          <w:rFonts w:hint="default"/>
          <w:sz w:val="32"/>
          <w:szCs w:val="32"/>
          <w:lang w:val="en-US" w:eastAsia="zh-CN"/>
        </w:rPr>
      </w:pPr>
      <w:bookmarkStart w:id="85" w:name="_Toc28896"/>
      <w:bookmarkStart w:id="86" w:name="_Toc1306"/>
      <w:bookmarkStart w:id="87" w:name="_Toc28699"/>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.2.</w:t>
      </w:r>
      <w:r>
        <w:rPr>
          <w:rFonts w:hint="default"/>
          <w:sz w:val="32"/>
          <w:szCs w:val="32"/>
          <w:lang w:val="en-US" w:eastAsia="zh-CN"/>
        </w:rPr>
        <w:t>严格履行程序，确保征收程序依法合规</w:t>
      </w:r>
      <w:bookmarkEnd w:id="85"/>
      <w:bookmarkEnd w:id="86"/>
      <w:bookmarkEnd w:id="87"/>
    </w:p>
    <w:p w14:paraId="5C3FBCD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实施土地征收工作过程中，应严格落实《中华人民共和国土地管理法》的相关规定，保证土地征收程序依法合规。保障被征收土地农民的知情权、参与权、监督权，切实保护失地农民利益。</w:t>
      </w:r>
    </w:p>
    <w:p w14:paraId="7C042B0E">
      <w:pPr>
        <w:pStyle w:val="3"/>
        <w:numPr>
          <w:ilvl w:val="1"/>
          <w:numId w:val="0"/>
        </w:numPr>
        <w:tabs>
          <w:tab w:val="clear" w:pos="420"/>
        </w:tabs>
        <w:bidi w:val="0"/>
        <w:ind w:left="575" w:leftChars="0" w:hanging="575" w:firstLineChars="0"/>
        <w:rPr>
          <w:rFonts w:hint="default"/>
          <w:sz w:val="32"/>
          <w:szCs w:val="32"/>
          <w:lang w:val="en-US" w:eastAsia="zh-CN"/>
        </w:rPr>
      </w:pPr>
      <w:bookmarkStart w:id="88" w:name="_Toc1822"/>
      <w:bookmarkStart w:id="89" w:name="_Toc1654"/>
      <w:bookmarkStart w:id="90" w:name="_Toc3690"/>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.3.</w:t>
      </w:r>
      <w:r>
        <w:rPr>
          <w:rFonts w:hint="default"/>
          <w:sz w:val="32"/>
          <w:szCs w:val="32"/>
          <w:lang w:val="en-US" w:eastAsia="zh-CN"/>
        </w:rPr>
        <w:t>落实土地补偿方案，切实维护失地农民权益</w:t>
      </w:r>
      <w:bookmarkEnd w:id="88"/>
      <w:bookmarkEnd w:id="89"/>
      <w:bookmarkEnd w:id="90"/>
    </w:p>
    <w:p w14:paraId="654BDDD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安置补偿是土地征收的关键，是农民关注的焦点，也是大多数不稳定事件的诱因，为避免矛盾的发生，相关部门应严格按照安置补偿方案实行，尤其是做好公开、公示工作，保证补偿金及时、足额发放，同时补偿金的发放也要考虑历史及毗连地区的征地补偿方案和补偿标准，安置补偿政策要具备一致性和连续性。如果补偿方案与历史补偿方案存在差异，应做好沟通工作，安置补偿方案应获得大多数村民的支持。</w:t>
      </w:r>
    </w:p>
    <w:p w14:paraId="4F03B2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应严格按照《山西省人民政府关于公布全省征地区片综合地价的通知》（晋政发〔2020〕16号）、《关于对被征地农民实行基本养老保险补贴的意见》（晋政办发〔2019〕10号）以及晋城市、</w:t>
      </w:r>
      <w:r>
        <w:rPr>
          <w:rFonts w:hint="eastAsia" w:ascii="Times New Roman" w:hAnsi="Times New Roman" w:eastAsia="仿宋" w:cs="Times New Roman"/>
          <w:sz w:val="28"/>
          <w:szCs w:val="28"/>
          <w:highlight w:val="none"/>
          <w:lang w:val="en-US" w:eastAsia="zh-CN"/>
        </w:rPr>
        <w:t>高平市</w:t>
      </w:r>
      <w:r>
        <w:rPr>
          <w:rFonts w:hint="default" w:ascii="Times New Roman" w:hAnsi="Times New Roman" w:eastAsia="仿宋" w:cs="Times New Roman"/>
          <w:sz w:val="28"/>
          <w:szCs w:val="28"/>
          <w:highlight w:val="none"/>
          <w:lang w:val="en-US" w:eastAsia="zh-CN"/>
        </w:rPr>
        <w:t>政府规定的征迁补偿标准等政策文件规定，综合考虑被征地的所有权人或使用人支付的各种补偿金，包括房屋拆迁补偿费、土地补偿费、安置补助费以及被征收土地青苗及地上附着物补偿费，征收建设用地、未利用地的土地补偿，按照项目所在区域公布的统一年产值标准和《山西省实施&lt;中华人民共和国土地管理法&gt;办法》规定的补偿倍数的上限支付土地补偿费。耕地开垦费、被征地农民的社会保障费按照调整后的征地统一年产值标准和我省已规定的倍数测算。</w:t>
      </w:r>
    </w:p>
    <w:p w14:paraId="2268E0F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根据国家征地相关立法精神，征收农民土地补偿，以被征地农民生活水平不降低为宜，其次，因对土地利用较好，而使土地年产值远高于区委平均产值的，如在土地上种植经济作物，利用农用地开展特殊种植、养殖业，应当根据实际情况获得更高补偿。为确保被征地农民生活水平有提高，长远生计有保障，需与村民达成一致意见，签订正式协议，并按时足额支付补偿款确保征迁工作的顺利进行。</w:t>
      </w:r>
    </w:p>
    <w:p w14:paraId="378B5C9E">
      <w:pPr>
        <w:pStyle w:val="3"/>
        <w:numPr>
          <w:ilvl w:val="1"/>
          <w:numId w:val="0"/>
        </w:numPr>
        <w:tabs>
          <w:tab w:val="clear" w:pos="420"/>
        </w:tabs>
        <w:bidi w:val="0"/>
        <w:ind w:left="575" w:leftChars="0" w:hanging="575" w:firstLineChars="0"/>
        <w:rPr>
          <w:rFonts w:hint="default"/>
          <w:sz w:val="32"/>
          <w:szCs w:val="32"/>
          <w:lang w:val="en-US" w:eastAsia="zh-CN"/>
        </w:rPr>
      </w:pPr>
      <w:bookmarkStart w:id="91" w:name="_Toc3112"/>
      <w:bookmarkStart w:id="92" w:name="_Toc10167"/>
      <w:bookmarkStart w:id="93" w:name="_Toc26919"/>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.4.</w:t>
      </w:r>
      <w:r>
        <w:rPr>
          <w:rFonts w:hint="default"/>
          <w:sz w:val="32"/>
          <w:szCs w:val="32"/>
          <w:lang w:val="en-US" w:eastAsia="zh-CN"/>
        </w:rPr>
        <w:t>加强风险预警，做好土地征收维稳工作</w:t>
      </w:r>
      <w:bookmarkEnd w:id="91"/>
      <w:bookmarkEnd w:id="92"/>
      <w:bookmarkEnd w:id="93"/>
    </w:p>
    <w:p w14:paraId="1920BFC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落实征地社会稳定风险评估制度，在充分听取意见和全面分析论证的基础上，科学确定风险等级，制定风险防控措施。建立风险预警制度，对土地征收过程中发证的不稳定因素进行每日排查，加强土地征收现场的治安保障，保持征收涉及区域日常治安环境的良好。密切关注极少数人可能因对补偿不满意引发的上访、闹访、煽动群众、示威等动向，第一时间采取教育、说服、化解等措施，将问题消除在萌芽状态。突发时间一旦发生或是出现发生的苗头后，各方力量和人员都能立即投入到位，各司其职，有条不紊开展工作。</w:t>
      </w:r>
    </w:p>
    <w:p w14:paraId="4994B59D">
      <w:pPr>
        <w:pStyle w:val="3"/>
        <w:numPr>
          <w:ilvl w:val="1"/>
          <w:numId w:val="0"/>
        </w:numPr>
        <w:tabs>
          <w:tab w:val="clear" w:pos="420"/>
        </w:tabs>
        <w:bidi w:val="0"/>
        <w:ind w:left="575" w:leftChars="0" w:hanging="575" w:firstLineChars="0"/>
        <w:rPr>
          <w:rFonts w:hint="default"/>
          <w:sz w:val="32"/>
          <w:szCs w:val="32"/>
          <w:lang w:val="en-US" w:eastAsia="zh-CN"/>
        </w:rPr>
      </w:pPr>
      <w:bookmarkStart w:id="94" w:name="_Toc7143"/>
      <w:bookmarkStart w:id="95" w:name="_Toc25313"/>
      <w:bookmarkStart w:id="96" w:name="_Toc30448"/>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.5.</w:t>
      </w:r>
      <w:r>
        <w:rPr>
          <w:rFonts w:hint="default"/>
          <w:sz w:val="32"/>
          <w:szCs w:val="32"/>
          <w:lang w:val="en-US" w:eastAsia="zh-CN"/>
        </w:rPr>
        <w:t>严格保护耕地，落实耕地占补平衡责任</w:t>
      </w:r>
      <w:bookmarkEnd w:id="94"/>
      <w:bookmarkEnd w:id="95"/>
      <w:bookmarkEnd w:id="96"/>
    </w:p>
    <w:p w14:paraId="542F73B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强化空间规划管控和用途管制，引导建设项目按照空间规划用途和土地利用计划使用土地。严格新增建设用地项目审批，从严审查建设用地位置、规模，对用地规模合理性、占用耕地必要性进行充分论证。非农建设占用耕地的，建设单位必须依法履行补充耕地义务，无法自行补充同等同级耕地的，应当按规定缴纳耕地开垦费，通过异地整治或购买补充耕地指标实现占补平衡。大力推进土地综合整治，落实耕地“占优补优”的占补平衡政策。整合相关部门涉农资金，鼓励社会资本、农民集体参与增减挂钩、土地复垦，全面拓宽土地整治资金渠道。补充耕地项目竣工验收后，项目所在地区、镇政府要及时组织群众进行耕种，落实长效保护机制，明确管护主体和责任。全面推进耕作层剥离再利用工作，落实耕作层剥离主体责任，剥离出的耕作层优先用于新增耕地、提质改造、劣质地或永久基本农田及整备区的耕地质量建设，落实耕地数量、质量、生态“三位一体”保护要求。</w:t>
      </w:r>
    </w:p>
    <w:p w14:paraId="149E3EF4">
      <w:pPr>
        <w:pStyle w:val="3"/>
        <w:numPr>
          <w:ilvl w:val="1"/>
          <w:numId w:val="0"/>
        </w:numPr>
        <w:tabs>
          <w:tab w:val="clear" w:pos="420"/>
        </w:tabs>
        <w:bidi w:val="0"/>
        <w:ind w:left="575" w:leftChars="0" w:hanging="575" w:firstLineChars="0"/>
        <w:rPr>
          <w:rFonts w:hint="default"/>
          <w:sz w:val="32"/>
          <w:szCs w:val="32"/>
          <w:lang w:val="en-US" w:eastAsia="zh-CN"/>
        </w:rPr>
      </w:pPr>
      <w:bookmarkStart w:id="97" w:name="_Toc20207"/>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.6.</w:t>
      </w:r>
      <w:r>
        <w:rPr>
          <w:rFonts w:hint="default"/>
          <w:sz w:val="32"/>
          <w:szCs w:val="32"/>
          <w:lang w:val="en-US" w:eastAsia="zh-CN"/>
        </w:rPr>
        <w:t>严格保护和合理利用林地</w:t>
      </w:r>
      <w:r>
        <w:rPr>
          <w:rFonts w:hint="eastAsia"/>
          <w:sz w:val="32"/>
          <w:szCs w:val="32"/>
          <w:lang w:val="en-US" w:eastAsia="zh-CN"/>
        </w:rPr>
        <w:t>，促进林业发展</w:t>
      </w:r>
      <w:bookmarkEnd w:id="97"/>
    </w:p>
    <w:p w14:paraId="3C1215E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建设项目应当不占或者少占林地，必须使用林地的，应当符合林地保护利用规划，合理和节约集约利用林地。建设项目使用林地实行总量控制和定额管理。建设项目限制使用生态区位重要和生态脆弱地区的林地，限制使用天然林和单位面积蓄积量高的林地，限制经营性建设项目使用林地。建设项目占用林地的审核权限，按照《中华人民共和国森林法实施条例》的有关规定执行。建设项目占用林地，经林业主管部门审核同意后，建设单位和个人应当依照法律法规的规定办理建设用地审批手续。</w:t>
      </w:r>
    </w:p>
    <w:p w14:paraId="519E1EB4">
      <w:pPr>
        <w:pStyle w:val="3"/>
        <w:numPr>
          <w:ilvl w:val="1"/>
          <w:numId w:val="0"/>
        </w:numPr>
        <w:tabs>
          <w:tab w:val="clear" w:pos="420"/>
        </w:tabs>
        <w:bidi w:val="0"/>
        <w:ind w:left="575" w:leftChars="0" w:hanging="575" w:firstLineChars="0"/>
        <w:rPr>
          <w:rFonts w:hint="default"/>
          <w:sz w:val="32"/>
          <w:szCs w:val="32"/>
          <w:lang w:val="en-US" w:eastAsia="zh-CN"/>
        </w:rPr>
      </w:pPr>
      <w:bookmarkStart w:id="98" w:name="_Toc18284"/>
      <w:bookmarkStart w:id="99" w:name="_Toc22377"/>
      <w:bookmarkStart w:id="100" w:name="_Toc13748"/>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.7.</w:t>
      </w:r>
      <w:r>
        <w:rPr>
          <w:rFonts w:hint="default"/>
          <w:sz w:val="32"/>
          <w:szCs w:val="32"/>
          <w:lang w:val="en-US" w:eastAsia="zh-CN"/>
        </w:rPr>
        <w:t>创新供地方式，提高成片开发用地效益</w:t>
      </w:r>
      <w:bookmarkEnd w:id="98"/>
      <w:bookmarkEnd w:id="99"/>
      <w:bookmarkEnd w:id="100"/>
    </w:p>
    <w:p w14:paraId="36F7575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推行产业用地弹性年期出让、长期租赁、先租后让、租让结合等供地方式，在法定最高有偿使用年限内，根据产业发展要求灵活确定国有建设用地出让年限和供应方式、以长期租赁、先租后让、租让结合方式供应土地的，依法登记后，办理规划报建和抵押融资手续。产业项目土地用途为工业用地、仓储用地的，可将产业类型、生产技术、产业标准、产品品质、节地技术等要求作为土地供应的前置条件，采取带项目招标或者挂牌方式供地。</w:t>
      </w:r>
    </w:p>
    <w:p w14:paraId="266BAC3A">
      <w:pPr>
        <w:pStyle w:val="3"/>
        <w:numPr>
          <w:ilvl w:val="1"/>
          <w:numId w:val="0"/>
        </w:numPr>
        <w:tabs>
          <w:tab w:val="clear" w:pos="420"/>
        </w:tabs>
        <w:bidi w:val="0"/>
        <w:ind w:left="575" w:leftChars="0" w:hanging="575" w:firstLineChars="0"/>
        <w:rPr>
          <w:rFonts w:hint="default"/>
          <w:sz w:val="32"/>
          <w:szCs w:val="32"/>
          <w:lang w:val="en-US" w:eastAsia="zh-CN"/>
        </w:rPr>
      </w:pPr>
      <w:bookmarkStart w:id="101" w:name="_Toc26606"/>
      <w:bookmarkStart w:id="102" w:name="_Toc19700"/>
      <w:bookmarkStart w:id="103" w:name="_Toc3831"/>
      <w:r>
        <w:rPr>
          <w:rFonts w:hint="eastAsia" w:cs="Times New Roman"/>
          <w:b/>
          <w:bCs/>
          <w:kern w:val="2"/>
          <w:sz w:val="32"/>
          <w:szCs w:val="32"/>
          <w:lang w:val="en-US" w:eastAsia="zh-CN"/>
        </w:rPr>
        <w:t>8</w:t>
      </w:r>
      <w:r>
        <w:rPr>
          <w:rFonts w:hint="eastAsia" w:ascii="Times New Roman" w:hAnsi="Times New Roman" w:eastAsia="仿宋" w:cs="Times New Roman"/>
          <w:b/>
          <w:bCs/>
          <w:kern w:val="2"/>
          <w:sz w:val="32"/>
          <w:szCs w:val="32"/>
          <w:lang w:val="en-US" w:eastAsia="zh-CN"/>
        </w:rPr>
        <w:t>.8.</w:t>
      </w:r>
      <w:r>
        <w:rPr>
          <w:rFonts w:hint="default"/>
          <w:sz w:val="32"/>
          <w:szCs w:val="32"/>
          <w:lang w:val="en-US" w:eastAsia="zh-CN"/>
        </w:rPr>
        <w:t>加强供应监管，提高节约集约用地水平</w:t>
      </w:r>
      <w:bookmarkEnd w:id="101"/>
      <w:bookmarkEnd w:id="102"/>
      <w:bookmarkEnd w:id="103"/>
    </w:p>
    <w:p w14:paraId="1E00C49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加强土地供应监管，建立全生命周期用地管理机制，综合运用大数据、信息化手段，强化用地“批供用”全流程监管。开展建设用地节约集约利用状况评价，全面分析成片开发土地节约集约状况，强化节约集约用地效能考核，提高节约集约用地水平。</w:t>
      </w:r>
    </w:p>
    <w:p w14:paraId="12B11B02">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br w:type="page"/>
      </w:r>
    </w:p>
    <w:p w14:paraId="3305180E">
      <w:pPr>
        <w:pStyle w:val="2"/>
        <w:numPr>
          <w:ilvl w:val="0"/>
          <w:numId w:val="0"/>
        </w:numPr>
        <w:bidi w:val="0"/>
        <w:ind w:left="432" w:leftChars="0" w:hanging="432" w:firstLineChars="0"/>
        <w:jc w:val="both"/>
        <w:rPr>
          <w:rFonts w:hint="default" w:ascii="Times New Roman" w:hAnsi="Times New Roman" w:eastAsia="仿宋" w:cs="Times New Roman"/>
          <w:b/>
          <w:bCs/>
          <w:kern w:val="44"/>
          <w:sz w:val="40"/>
          <w:szCs w:val="40"/>
          <w:lang w:val="en-US" w:eastAsia="zh-CN"/>
        </w:rPr>
      </w:pPr>
      <w:bookmarkStart w:id="104" w:name="_Toc5196"/>
      <w:r>
        <w:rPr>
          <w:rFonts w:hint="eastAsia" w:cs="Times New Roman"/>
          <w:b/>
          <w:bCs/>
          <w:kern w:val="44"/>
          <w:sz w:val="40"/>
          <w:szCs w:val="40"/>
          <w:lang w:val="en-US" w:eastAsia="zh-CN"/>
        </w:rPr>
        <w:t>9</w:t>
      </w:r>
      <w:r>
        <w:rPr>
          <w:rFonts w:hint="default" w:ascii="Times New Roman" w:hAnsi="Times New Roman" w:eastAsia="仿宋" w:cs="Times New Roman"/>
          <w:b/>
          <w:bCs/>
          <w:kern w:val="44"/>
          <w:sz w:val="40"/>
          <w:szCs w:val="40"/>
          <w:lang w:val="en-US" w:eastAsia="zh-CN"/>
        </w:rPr>
        <w:t>.结论</w:t>
      </w:r>
      <w:bookmarkEnd w:id="104"/>
    </w:p>
    <w:p w14:paraId="76F417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1、片区共计8个，片区面积66.0992公顷，拟征收项目地块9个，项目用地面积45.9447公顷，拟征收面积45.9447公顷，实施周期为2025年。</w:t>
      </w:r>
    </w:p>
    <w:p w14:paraId="6D449B4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2、开发区内成片开发范围的公益性用地比例为29.13%，大于25%；开发区外其他成片开发范围的公益性用地比例为48.16%，大于40%。</w:t>
      </w:r>
    </w:p>
    <w:p w14:paraId="3B2329B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sz w:val="28"/>
          <w:szCs w:val="28"/>
          <w:highlight w:val="none"/>
          <w:lang w:val="en-US" w:eastAsia="zh-CN"/>
        </w:rPr>
        <w:t>3、</w:t>
      </w:r>
      <w:r>
        <w:rPr>
          <w:rFonts w:hint="eastAsia" w:ascii="Times New Roman" w:hAnsi="Times New Roman" w:eastAsia="仿宋" w:cs="Times New Roman"/>
          <w:color w:val="auto"/>
          <w:sz w:val="28"/>
          <w:szCs w:val="28"/>
          <w:highlight w:val="none"/>
          <w:lang w:val="en-US" w:eastAsia="zh-CN"/>
        </w:rPr>
        <w:t>方案位于国土空间规划确定的城镇开发边界内的集中建设区，符合高平市国民经济和社会发展规划，已纳入高平市国民经济和社会发展年度计划。</w:t>
      </w:r>
    </w:p>
    <w:p w14:paraId="0DC9EBD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color w:val="FF0000"/>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4、方案不涉及永久基本农田和生态保护红线，且高平市上年度不存在大量批而未供或闲置土地的情况，不存在连续两年未完成已批准实施的土地征收成片开发实施计划的情况，符合方案上报审查要求。</w:t>
      </w:r>
    </w:p>
    <w:p w14:paraId="7A064E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5、方案有利于区域经济转型与产业结构优化；有利于提升土地利用集约节约水平，推动增量用地布局优化与存量用地盘活。</w:t>
      </w:r>
    </w:p>
    <w:p w14:paraId="116EE36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综上所述，《高平市2025年土地征收成片开发方案》符合《自然资源部关于印发&lt;土地征收成片开发标准&gt;的通知》（自然资规〔2023〕7号）、《山西省自然资源厅关于印发〈山西省土地征收成片开发标准实施细则〉的通知》（晋自然资发〔2024〕18号）等文件的要求。</w:t>
      </w:r>
    </w:p>
    <w:sectPr>
      <w:pgSz w:w="11906" w:h="16838"/>
      <w:pgMar w:top="1440" w:right="1466" w:bottom="1440" w:left="1800" w:header="850" w:footer="79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EE1F">
    <w:pPr>
      <w:widowControl w:val="0"/>
      <w:tabs>
        <w:tab w:val="center" w:pos="4153"/>
        <w:tab w:val="right" w:pos="8306"/>
      </w:tabs>
      <w:snapToGrid w:val="0"/>
      <w:jc w:val="left"/>
      <w:rPr>
        <w:rFonts w:ascii="Times New Roman" w:hAnsi="Times New Roman"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8191">
    <w:pPr>
      <w:widowControl w:val="0"/>
      <w:tabs>
        <w:tab w:val="center" w:pos="4153"/>
        <w:tab w:val="right" w:pos="8306"/>
      </w:tabs>
      <w:snapToGrid w:val="0"/>
      <w:jc w:val="left"/>
      <w:rPr>
        <w:rFonts w:ascii="Times New Roman" w:hAnsi="Times New Roman" w:eastAsia="等线"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74923">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F74923">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F861">
    <w:pPr>
      <w:widowControl w:val="0"/>
      <w:tabs>
        <w:tab w:val="center" w:pos="4153"/>
        <w:tab w:val="right" w:pos="8306"/>
      </w:tabs>
      <w:snapToGrid w:val="0"/>
      <w:jc w:val="left"/>
      <w:rPr>
        <w:rFonts w:ascii="Times New Roman" w:hAnsi="Times New Roman" w:eastAsia="等线"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CC985">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2CC985">
                    <w:pPr>
                      <w:pStyle w:val="12"/>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AA75">
    <w:pPr>
      <w:tabs>
        <w:tab w:val="center" w:pos="4153"/>
        <w:tab w:val="right" w:pos="8306"/>
      </w:tabs>
      <w:jc w:val="center"/>
      <w:rPr>
        <w:rFonts w:hint="default" w:ascii="Times New Roman" w:hAnsi="Times New Roman" w:cs="Times New Roma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6B8F9">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46B8F9">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v:textbox>
            </v:shape>
          </w:pict>
        </mc:Fallback>
      </mc:AlternateContent>
    </w:r>
  </w:p>
  <w:p w14:paraId="7A95AF79">
    <w:pPr>
      <w:tabs>
        <w:tab w:val="center" w:pos="4153"/>
        <w:tab w:val="right" w:pos="8306"/>
      </w:tabs>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F4F7">
    <w:pPr>
      <w:tabs>
        <w:tab w:val="center" w:pos="4153"/>
        <w:tab w:val="right" w:pos="8306"/>
      </w:tabs>
      <w:jc w:val="center"/>
      <w:rPr>
        <w:rFonts w:hint="default" w:ascii="Times New Roman" w:hAnsi="Times New Roman" w:cs="Times New Roma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79751">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F279751">
                    <w:pPr>
                      <w:tabs>
                        <w:tab w:val="center" w:pos="4153"/>
                        <w:tab w:val="right" w:pos="8306"/>
                      </w:tabs>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zh-CN"/>
                      </w:rPr>
                      <w:fldChar w:fldCharType="end"/>
                    </w:r>
                  </w:p>
                </w:txbxContent>
              </v:textbox>
            </v:shape>
          </w:pict>
        </mc:Fallback>
      </mc:AlternateContent>
    </w:r>
  </w:p>
  <w:p w14:paraId="011DB2AF">
    <w:pPr>
      <w:tabs>
        <w:tab w:val="center" w:pos="4153"/>
        <w:tab w:val="right" w:pos="8306"/>
      </w:tabs>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0A05C"/>
    <w:multiLevelType w:val="multilevel"/>
    <w:tmpl w:val="50C0A05C"/>
    <w:lvl w:ilvl="0" w:tentative="0">
      <w:start w:val="1"/>
      <w:numFmt w:val="decimal"/>
      <w:pStyle w:val="2"/>
      <w:suff w:val="nothing"/>
      <w:lvlText w:val="%1."/>
      <w:lvlJc w:val="center"/>
      <w:pPr>
        <w:tabs>
          <w:tab w:val="left" w:pos="420"/>
        </w:tabs>
        <w:ind w:left="432" w:hanging="432"/>
      </w:pPr>
      <w:rPr>
        <w:rFonts w:hint="default"/>
      </w:rPr>
    </w:lvl>
    <w:lvl w:ilvl="1" w:tentative="0">
      <w:start w:val="1"/>
      <w:numFmt w:val="decimal"/>
      <w:pStyle w:val="3"/>
      <w:isLgl/>
      <w:lvlText w:val="%1.%2."/>
      <w:lvlJc w:val="left"/>
      <w:pPr>
        <w:tabs>
          <w:tab w:val="left" w:pos="420"/>
        </w:tabs>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159"/>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mQwZDE4MWRkODU1M2VjY2MxYmFhNjhlODE3NjAifQ=="/>
  </w:docVars>
  <w:rsids>
    <w:rsidRoot w:val="00172A27"/>
    <w:rsid w:val="000C1FF9"/>
    <w:rsid w:val="001B7925"/>
    <w:rsid w:val="00276538"/>
    <w:rsid w:val="003577A2"/>
    <w:rsid w:val="00365D13"/>
    <w:rsid w:val="003E54D4"/>
    <w:rsid w:val="006311DA"/>
    <w:rsid w:val="006360BD"/>
    <w:rsid w:val="00681B8A"/>
    <w:rsid w:val="00734E25"/>
    <w:rsid w:val="0078143C"/>
    <w:rsid w:val="008E0C60"/>
    <w:rsid w:val="00944C50"/>
    <w:rsid w:val="00975DF3"/>
    <w:rsid w:val="00A27882"/>
    <w:rsid w:val="00AB3423"/>
    <w:rsid w:val="00B2494E"/>
    <w:rsid w:val="00B34E98"/>
    <w:rsid w:val="00B92181"/>
    <w:rsid w:val="00BB3081"/>
    <w:rsid w:val="00BE32F3"/>
    <w:rsid w:val="00CF7D23"/>
    <w:rsid w:val="00EF5BA2"/>
    <w:rsid w:val="00F74A57"/>
    <w:rsid w:val="00FB444F"/>
    <w:rsid w:val="00FE788A"/>
    <w:rsid w:val="01062EEC"/>
    <w:rsid w:val="010F3618"/>
    <w:rsid w:val="01121891"/>
    <w:rsid w:val="011E73A3"/>
    <w:rsid w:val="01247153"/>
    <w:rsid w:val="012539AF"/>
    <w:rsid w:val="01324EC1"/>
    <w:rsid w:val="0137560F"/>
    <w:rsid w:val="01381965"/>
    <w:rsid w:val="014047A3"/>
    <w:rsid w:val="01523901"/>
    <w:rsid w:val="01537DDF"/>
    <w:rsid w:val="0156177E"/>
    <w:rsid w:val="015D067A"/>
    <w:rsid w:val="01631BFA"/>
    <w:rsid w:val="018A4FFC"/>
    <w:rsid w:val="019F1377"/>
    <w:rsid w:val="01A7022B"/>
    <w:rsid w:val="01A85D51"/>
    <w:rsid w:val="01AE12BB"/>
    <w:rsid w:val="01B046EE"/>
    <w:rsid w:val="01C8325B"/>
    <w:rsid w:val="01D442E3"/>
    <w:rsid w:val="01E16D3F"/>
    <w:rsid w:val="01E70628"/>
    <w:rsid w:val="01EE34BD"/>
    <w:rsid w:val="01F561BC"/>
    <w:rsid w:val="02072F23"/>
    <w:rsid w:val="020B7377"/>
    <w:rsid w:val="02117D9A"/>
    <w:rsid w:val="022655F4"/>
    <w:rsid w:val="02274EC8"/>
    <w:rsid w:val="02290253"/>
    <w:rsid w:val="023B5157"/>
    <w:rsid w:val="02483192"/>
    <w:rsid w:val="025B19F1"/>
    <w:rsid w:val="026262F5"/>
    <w:rsid w:val="02631892"/>
    <w:rsid w:val="027112CC"/>
    <w:rsid w:val="02811C50"/>
    <w:rsid w:val="02890D12"/>
    <w:rsid w:val="02987B74"/>
    <w:rsid w:val="02AD1D1B"/>
    <w:rsid w:val="02AE1145"/>
    <w:rsid w:val="02B06745"/>
    <w:rsid w:val="02B07E7A"/>
    <w:rsid w:val="02B726F0"/>
    <w:rsid w:val="02BA0D7D"/>
    <w:rsid w:val="02BC7D6E"/>
    <w:rsid w:val="02C81745"/>
    <w:rsid w:val="02DB1BA1"/>
    <w:rsid w:val="02EE7D45"/>
    <w:rsid w:val="02F53F07"/>
    <w:rsid w:val="030324B2"/>
    <w:rsid w:val="032B6C3A"/>
    <w:rsid w:val="032C7F14"/>
    <w:rsid w:val="032E28DB"/>
    <w:rsid w:val="03333611"/>
    <w:rsid w:val="034352CA"/>
    <w:rsid w:val="03583F56"/>
    <w:rsid w:val="035A2387"/>
    <w:rsid w:val="035C6BEC"/>
    <w:rsid w:val="035E2049"/>
    <w:rsid w:val="03806F86"/>
    <w:rsid w:val="038C06E0"/>
    <w:rsid w:val="038E5082"/>
    <w:rsid w:val="03922815"/>
    <w:rsid w:val="03AD764F"/>
    <w:rsid w:val="03C24DBB"/>
    <w:rsid w:val="03CF6866"/>
    <w:rsid w:val="03DC50F5"/>
    <w:rsid w:val="03DE2286"/>
    <w:rsid w:val="03E413F2"/>
    <w:rsid w:val="03F22DBB"/>
    <w:rsid w:val="041A00C8"/>
    <w:rsid w:val="042D0ACF"/>
    <w:rsid w:val="04451556"/>
    <w:rsid w:val="04477AA3"/>
    <w:rsid w:val="04891E6A"/>
    <w:rsid w:val="048B7990"/>
    <w:rsid w:val="048F0840"/>
    <w:rsid w:val="04942A26"/>
    <w:rsid w:val="04956A61"/>
    <w:rsid w:val="04991296"/>
    <w:rsid w:val="049963F4"/>
    <w:rsid w:val="04A77B1E"/>
    <w:rsid w:val="04AA4F16"/>
    <w:rsid w:val="04BF588C"/>
    <w:rsid w:val="04C241D8"/>
    <w:rsid w:val="04C410F4"/>
    <w:rsid w:val="04C94E3D"/>
    <w:rsid w:val="04CE2A08"/>
    <w:rsid w:val="04CE32A6"/>
    <w:rsid w:val="04D208F9"/>
    <w:rsid w:val="04D45418"/>
    <w:rsid w:val="04D61A04"/>
    <w:rsid w:val="04E34FE5"/>
    <w:rsid w:val="04EE7C19"/>
    <w:rsid w:val="04EF2712"/>
    <w:rsid w:val="050046C8"/>
    <w:rsid w:val="05094D59"/>
    <w:rsid w:val="05141CEE"/>
    <w:rsid w:val="051E4594"/>
    <w:rsid w:val="05212FA2"/>
    <w:rsid w:val="0523361D"/>
    <w:rsid w:val="052B7C3D"/>
    <w:rsid w:val="052E1A16"/>
    <w:rsid w:val="053242B0"/>
    <w:rsid w:val="0536190C"/>
    <w:rsid w:val="05614B95"/>
    <w:rsid w:val="058837D2"/>
    <w:rsid w:val="059C5BCD"/>
    <w:rsid w:val="059C797B"/>
    <w:rsid w:val="05AF22C7"/>
    <w:rsid w:val="05B05F01"/>
    <w:rsid w:val="05BA7D22"/>
    <w:rsid w:val="05C80770"/>
    <w:rsid w:val="05CB200E"/>
    <w:rsid w:val="05CB6324"/>
    <w:rsid w:val="05CD5B49"/>
    <w:rsid w:val="05CF7D50"/>
    <w:rsid w:val="05D365E4"/>
    <w:rsid w:val="05DB04A3"/>
    <w:rsid w:val="05EC0902"/>
    <w:rsid w:val="061439B5"/>
    <w:rsid w:val="06147E59"/>
    <w:rsid w:val="06180B73"/>
    <w:rsid w:val="061B4D44"/>
    <w:rsid w:val="0621224B"/>
    <w:rsid w:val="06340D73"/>
    <w:rsid w:val="064C7016"/>
    <w:rsid w:val="06502589"/>
    <w:rsid w:val="06532730"/>
    <w:rsid w:val="066050DA"/>
    <w:rsid w:val="06732CF5"/>
    <w:rsid w:val="0680104B"/>
    <w:rsid w:val="06933D53"/>
    <w:rsid w:val="069A65B0"/>
    <w:rsid w:val="06B34F7C"/>
    <w:rsid w:val="06B91B8C"/>
    <w:rsid w:val="06BE165D"/>
    <w:rsid w:val="06C336A9"/>
    <w:rsid w:val="06E00B7D"/>
    <w:rsid w:val="07074C54"/>
    <w:rsid w:val="07174EC6"/>
    <w:rsid w:val="071C0D73"/>
    <w:rsid w:val="07235486"/>
    <w:rsid w:val="0732115C"/>
    <w:rsid w:val="07375B9E"/>
    <w:rsid w:val="074917EE"/>
    <w:rsid w:val="074F1149"/>
    <w:rsid w:val="0759537E"/>
    <w:rsid w:val="07621BE9"/>
    <w:rsid w:val="076B4F66"/>
    <w:rsid w:val="07740BAF"/>
    <w:rsid w:val="077527CF"/>
    <w:rsid w:val="0790350F"/>
    <w:rsid w:val="07A0147A"/>
    <w:rsid w:val="07AD0A1C"/>
    <w:rsid w:val="07AF43D8"/>
    <w:rsid w:val="07B2792A"/>
    <w:rsid w:val="07DC0503"/>
    <w:rsid w:val="07E51C88"/>
    <w:rsid w:val="07E5385B"/>
    <w:rsid w:val="07F070FE"/>
    <w:rsid w:val="07F700E8"/>
    <w:rsid w:val="08024366"/>
    <w:rsid w:val="0808754A"/>
    <w:rsid w:val="080F08D8"/>
    <w:rsid w:val="08167EB9"/>
    <w:rsid w:val="082425D6"/>
    <w:rsid w:val="082D6FB0"/>
    <w:rsid w:val="0835432E"/>
    <w:rsid w:val="084A33AE"/>
    <w:rsid w:val="08597DA5"/>
    <w:rsid w:val="086C7AD9"/>
    <w:rsid w:val="086F2BBC"/>
    <w:rsid w:val="087972AF"/>
    <w:rsid w:val="087E6310"/>
    <w:rsid w:val="08BE41F4"/>
    <w:rsid w:val="08C00181"/>
    <w:rsid w:val="08C162B9"/>
    <w:rsid w:val="08C55F22"/>
    <w:rsid w:val="08C571E9"/>
    <w:rsid w:val="08C72F61"/>
    <w:rsid w:val="08EB30F3"/>
    <w:rsid w:val="08F875BE"/>
    <w:rsid w:val="09043664"/>
    <w:rsid w:val="09064065"/>
    <w:rsid w:val="091B57F8"/>
    <w:rsid w:val="092E5A25"/>
    <w:rsid w:val="09381A12"/>
    <w:rsid w:val="09463FB2"/>
    <w:rsid w:val="0947661E"/>
    <w:rsid w:val="094B63B0"/>
    <w:rsid w:val="09510D55"/>
    <w:rsid w:val="09547CAD"/>
    <w:rsid w:val="097A6872"/>
    <w:rsid w:val="097A764F"/>
    <w:rsid w:val="097F1A8E"/>
    <w:rsid w:val="09896468"/>
    <w:rsid w:val="09970B85"/>
    <w:rsid w:val="09A171AC"/>
    <w:rsid w:val="09A6526C"/>
    <w:rsid w:val="09C005B2"/>
    <w:rsid w:val="09C1299A"/>
    <w:rsid w:val="09D5345C"/>
    <w:rsid w:val="09D750A5"/>
    <w:rsid w:val="09F2400E"/>
    <w:rsid w:val="09F63266"/>
    <w:rsid w:val="09FE29B2"/>
    <w:rsid w:val="0A0A75A9"/>
    <w:rsid w:val="0A1C02C4"/>
    <w:rsid w:val="0A1D5D4B"/>
    <w:rsid w:val="0A3F2D93"/>
    <w:rsid w:val="0A4707FD"/>
    <w:rsid w:val="0A684239"/>
    <w:rsid w:val="0A857FE9"/>
    <w:rsid w:val="0A8E5717"/>
    <w:rsid w:val="0A947417"/>
    <w:rsid w:val="0AA74CD1"/>
    <w:rsid w:val="0AC61847"/>
    <w:rsid w:val="0AD71885"/>
    <w:rsid w:val="0AD7289B"/>
    <w:rsid w:val="0ADF4E2E"/>
    <w:rsid w:val="0AEF054D"/>
    <w:rsid w:val="0AFB5144"/>
    <w:rsid w:val="0AFD6A90"/>
    <w:rsid w:val="0AFE682D"/>
    <w:rsid w:val="0B186AF0"/>
    <w:rsid w:val="0B2263F1"/>
    <w:rsid w:val="0B3568A8"/>
    <w:rsid w:val="0B446AEB"/>
    <w:rsid w:val="0B500328"/>
    <w:rsid w:val="0B5517D9"/>
    <w:rsid w:val="0B5A409F"/>
    <w:rsid w:val="0B753148"/>
    <w:rsid w:val="0B97722E"/>
    <w:rsid w:val="0B9A670B"/>
    <w:rsid w:val="0BA97712"/>
    <w:rsid w:val="0BB10DA4"/>
    <w:rsid w:val="0BBF6171"/>
    <w:rsid w:val="0BC31EE2"/>
    <w:rsid w:val="0BCF7CCC"/>
    <w:rsid w:val="0BD52983"/>
    <w:rsid w:val="0BE71621"/>
    <w:rsid w:val="0BEE0EBF"/>
    <w:rsid w:val="0BFF07E0"/>
    <w:rsid w:val="0C1666D9"/>
    <w:rsid w:val="0C2B0D00"/>
    <w:rsid w:val="0C351053"/>
    <w:rsid w:val="0C4F1BEB"/>
    <w:rsid w:val="0C5734B3"/>
    <w:rsid w:val="0C5D6C82"/>
    <w:rsid w:val="0C7043B9"/>
    <w:rsid w:val="0C9C25A8"/>
    <w:rsid w:val="0CAA0BCF"/>
    <w:rsid w:val="0CBB102F"/>
    <w:rsid w:val="0CC509F4"/>
    <w:rsid w:val="0CC65773"/>
    <w:rsid w:val="0CC954FA"/>
    <w:rsid w:val="0CD15608"/>
    <w:rsid w:val="0CE16AF6"/>
    <w:rsid w:val="0CE52C48"/>
    <w:rsid w:val="0CF83B56"/>
    <w:rsid w:val="0D0D2160"/>
    <w:rsid w:val="0D124F2D"/>
    <w:rsid w:val="0D1E7195"/>
    <w:rsid w:val="0D3101C2"/>
    <w:rsid w:val="0D3C254C"/>
    <w:rsid w:val="0D437156"/>
    <w:rsid w:val="0D556D8D"/>
    <w:rsid w:val="0D5D37B9"/>
    <w:rsid w:val="0D5E0D3E"/>
    <w:rsid w:val="0D65084A"/>
    <w:rsid w:val="0D766D04"/>
    <w:rsid w:val="0D7D6BE3"/>
    <w:rsid w:val="0D8B27AF"/>
    <w:rsid w:val="0DA16476"/>
    <w:rsid w:val="0DAF3D29"/>
    <w:rsid w:val="0DB671A9"/>
    <w:rsid w:val="0DBC26D5"/>
    <w:rsid w:val="0DC36E7D"/>
    <w:rsid w:val="0DE2755F"/>
    <w:rsid w:val="0DE77E71"/>
    <w:rsid w:val="0DED24C1"/>
    <w:rsid w:val="0DEE2376"/>
    <w:rsid w:val="0DEF6236"/>
    <w:rsid w:val="0DF772A6"/>
    <w:rsid w:val="0E03075A"/>
    <w:rsid w:val="0E1F739B"/>
    <w:rsid w:val="0E204475"/>
    <w:rsid w:val="0E2A6B1C"/>
    <w:rsid w:val="0E4212C3"/>
    <w:rsid w:val="0E530E38"/>
    <w:rsid w:val="0E63718C"/>
    <w:rsid w:val="0E6A1EA4"/>
    <w:rsid w:val="0E782061"/>
    <w:rsid w:val="0E796BAD"/>
    <w:rsid w:val="0E7B78BC"/>
    <w:rsid w:val="0E927695"/>
    <w:rsid w:val="0E9759B5"/>
    <w:rsid w:val="0EA7186A"/>
    <w:rsid w:val="0EA97D69"/>
    <w:rsid w:val="0EBB79A7"/>
    <w:rsid w:val="0EBC2B1F"/>
    <w:rsid w:val="0EDA659D"/>
    <w:rsid w:val="0EEA5BFB"/>
    <w:rsid w:val="0EED7507"/>
    <w:rsid w:val="0EEF792D"/>
    <w:rsid w:val="0F00670E"/>
    <w:rsid w:val="0F046ABD"/>
    <w:rsid w:val="0F0476E9"/>
    <w:rsid w:val="0F155DB4"/>
    <w:rsid w:val="0F17027A"/>
    <w:rsid w:val="0F333798"/>
    <w:rsid w:val="0F3B6457"/>
    <w:rsid w:val="0F442AB9"/>
    <w:rsid w:val="0F52385D"/>
    <w:rsid w:val="0F621A09"/>
    <w:rsid w:val="0F635F33"/>
    <w:rsid w:val="0F661FCD"/>
    <w:rsid w:val="0F930DDC"/>
    <w:rsid w:val="0FA425D2"/>
    <w:rsid w:val="0FB3132F"/>
    <w:rsid w:val="0FB40DC2"/>
    <w:rsid w:val="0FB51D65"/>
    <w:rsid w:val="0FB60F90"/>
    <w:rsid w:val="0FBF3CD6"/>
    <w:rsid w:val="0FC03748"/>
    <w:rsid w:val="0FC64E53"/>
    <w:rsid w:val="0FCD5301"/>
    <w:rsid w:val="0FD50659"/>
    <w:rsid w:val="0FF06717"/>
    <w:rsid w:val="0FF52AA9"/>
    <w:rsid w:val="0FFE08D3"/>
    <w:rsid w:val="1001195F"/>
    <w:rsid w:val="10022AD1"/>
    <w:rsid w:val="1006366B"/>
    <w:rsid w:val="1008139F"/>
    <w:rsid w:val="10093E5F"/>
    <w:rsid w:val="100E0E88"/>
    <w:rsid w:val="1010343F"/>
    <w:rsid w:val="10142F05"/>
    <w:rsid w:val="101D0AFA"/>
    <w:rsid w:val="101E3DAE"/>
    <w:rsid w:val="103C1F97"/>
    <w:rsid w:val="10437371"/>
    <w:rsid w:val="104A0847"/>
    <w:rsid w:val="10726D87"/>
    <w:rsid w:val="108300B5"/>
    <w:rsid w:val="10846707"/>
    <w:rsid w:val="10886852"/>
    <w:rsid w:val="108D4996"/>
    <w:rsid w:val="10966CF4"/>
    <w:rsid w:val="10A2232D"/>
    <w:rsid w:val="10C81A94"/>
    <w:rsid w:val="10D0494F"/>
    <w:rsid w:val="10E741A0"/>
    <w:rsid w:val="10EC2FEB"/>
    <w:rsid w:val="110C5A6F"/>
    <w:rsid w:val="111C620F"/>
    <w:rsid w:val="112A6783"/>
    <w:rsid w:val="113A4A81"/>
    <w:rsid w:val="113E2CEA"/>
    <w:rsid w:val="11577C8F"/>
    <w:rsid w:val="11763776"/>
    <w:rsid w:val="1198193E"/>
    <w:rsid w:val="11A14530"/>
    <w:rsid w:val="11B0281C"/>
    <w:rsid w:val="11B36DBC"/>
    <w:rsid w:val="11B57D37"/>
    <w:rsid w:val="11C531DA"/>
    <w:rsid w:val="11C91AF8"/>
    <w:rsid w:val="11DD55A3"/>
    <w:rsid w:val="11E9219A"/>
    <w:rsid w:val="11EA6170"/>
    <w:rsid w:val="11F23ACA"/>
    <w:rsid w:val="120223F7"/>
    <w:rsid w:val="120E36A8"/>
    <w:rsid w:val="122A4C8C"/>
    <w:rsid w:val="122E6A58"/>
    <w:rsid w:val="1230601B"/>
    <w:rsid w:val="12307DC9"/>
    <w:rsid w:val="123907C5"/>
    <w:rsid w:val="125718AA"/>
    <w:rsid w:val="125B713D"/>
    <w:rsid w:val="126935D7"/>
    <w:rsid w:val="12706B96"/>
    <w:rsid w:val="127208CA"/>
    <w:rsid w:val="127952CC"/>
    <w:rsid w:val="1283439D"/>
    <w:rsid w:val="128654F4"/>
    <w:rsid w:val="12905D29"/>
    <w:rsid w:val="12940358"/>
    <w:rsid w:val="12987A0F"/>
    <w:rsid w:val="12AC2C68"/>
    <w:rsid w:val="12B04A66"/>
    <w:rsid w:val="12BA75F5"/>
    <w:rsid w:val="12C10A21"/>
    <w:rsid w:val="12CA696C"/>
    <w:rsid w:val="12D9220E"/>
    <w:rsid w:val="12DC3C5F"/>
    <w:rsid w:val="12E86732"/>
    <w:rsid w:val="12EA7F78"/>
    <w:rsid w:val="12ED6259"/>
    <w:rsid w:val="12F710DE"/>
    <w:rsid w:val="12F72695"/>
    <w:rsid w:val="12F93013"/>
    <w:rsid w:val="13011BDA"/>
    <w:rsid w:val="1301520B"/>
    <w:rsid w:val="130F3E82"/>
    <w:rsid w:val="13141656"/>
    <w:rsid w:val="13171BB5"/>
    <w:rsid w:val="132536A6"/>
    <w:rsid w:val="13353197"/>
    <w:rsid w:val="13367661"/>
    <w:rsid w:val="133703A6"/>
    <w:rsid w:val="133A34F7"/>
    <w:rsid w:val="134F2888"/>
    <w:rsid w:val="1360754B"/>
    <w:rsid w:val="13631AD8"/>
    <w:rsid w:val="13970239"/>
    <w:rsid w:val="13AA5959"/>
    <w:rsid w:val="13B14F39"/>
    <w:rsid w:val="13BA7F77"/>
    <w:rsid w:val="13BE4573"/>
    <w:rsid w:val="13C24A51"/>
    <w:rsid w:val="13C327F4"/>
    <w:rsid w:val="13C7650B"/>
    <w:rsid w:val="13D81595"/>
    <w:rsid w:val="13DF1AA7"/>
    <w:rsid w:val="13E40AD4"/>
    <w:rsid w:val="13F467B2"/>
    <w:rsid w:val="140D6614"/>
    <w:rsid w:val="1415616C"/>
    <w:rsid w:val="14172FEE"/>
    <w:rsid w:val="141F1D2E"/>
    <w:rsid w:val="142C45C0"/>
    <w:rsid w:val="142F2A6F"/>
    <w:rsid w:val="14373691"/>
    <w:rsid w:val="144A5D9E"/>
    <w:rsid w:val="144D471F"/>
    <w:rsid w:val="14697BE6"/>
    <w:rsid w:val="14715AB3"/>
    <w:rsid w:val="147D2F36"/>
    <w:rsid w:val="147E306D"/>
    <w:rsid w:val="148515D0"/>
    <w:rsid w:val="14872991"/>
    <w:rsid w:val="149D6722"/>
    <w:rsid w:val="14B1176F"/>
    <w:rsid w:val="14B536CC"/>
    <w:rsid w:val="14B66BA5"/>
    <w:rsid w:val="14BB3552"/>
    <w:rsid w:val="14CD5EB5"/>
    <w:rsid w:val="14DD1816"/>
    <w:rsid w:val="14DE623C"/>
    <w:rsid w:val="14EE5ACD"/>
    <w:rsid w:val="14EF3718"/>
    <w:rsid w:val="14FC3F92"/>
    <w:rsid w:val="15081722"/>
    <w:rsid w:val="150A66AF"/>
    <w:rsid w:val="150C12A6"/>
    <w:rsid w:val="150D7BA8"/>
    <w:rsid w:val="15192D96"/>
    <w:rsid w:val="15240802"/>
    <w:rsid w:val="1528122B"/>
    <w:rsid w:val="153B2D0D"/>
    <w:rsid w:val="1541170A"/>
    <w:rsid w:val="154366FC"/>
    <w:rsid w:val="15720785"/>
    <w:rsid w:val="15762316"/>
    <w:rsid w:val="157F1A92"/>
    <w:rsid w:val="15877D00"/>
    <w:rsid w:val="15880B0D"/>
    <w:rsid w:val="158C3568"/>
    <w:rsid w:val="158F74E8"/>
    <w:rsid w:val="15932B49"/>
    <w:rsid w:val="15A718D7"/>
    <w:rsid w:val="15AD2FA0"/>
    <w:rsid w:val="15AE7093"/>
    <w:rsid w:val="15C03212"/>
    <w:rsid w:val="15D12754"/>
    <w:rsid w:val="15D15460"/>
    <w:rsid w:val="15D50434"/>
    <w:rsid w:val="15D50EE4"/>
    <w:rsid w:val="15DD2016"/>
    <w:rsid w:val="15E677D9"/>
    <w:rsid w:val="15E877CC"/>
    <w:rsid w:val="15FF2F44"/>
    <w:rsid w:val="1604435F"/>
    <w:rsid w:val="16052322"/>
    <w:rsid w:val="160E21CF"/>
    <w:rsid w:val="162C3A84"/>
    <w:rsid w:val="1632480C"/>
    <w:rsid w:val="16442095"/>
    <w:rsid w:val="164A7771"/>
    <w:rsid w:val="164C6AB2"/>
    <w:rsid w:val="164D5BED"/>
    <w:rsid w:val="1658169C"/>
    <w:rsid w:val="16677B31"/>
    <w:rsid w:val="16730284"/>
    <w:rsid w:val="167F206F"/>
    <w:rsid w:val="16866E7C"/>
    <w:rsid w:val="16893F4C"/>
    <w:rsid w:val="16932F60"/>
    <w:rsid w:val="1696443B"/>
    <w:rsid w:val="16975328"/>
    <w:rsid w:val="16A41EC1"/>
    <w:rsid w:val="16AF3030"/>
    <w:rsid w:val="16BB01E4"/>
    <w:rsid w:val="16C15CF6"/>
    <w:rsid w:val="16D57191"/>
    <w:rsid w:val="16D75882"/>
    <w:rsid w:val="16DB245C"/>
    <w:rsid w:val="16E01F94"/>
    <w:rsid w:val="16E82A20"/>
    <w:rsid w:val="16F6595A"/>
    <w:rsid w:val="171801BE"/>
    <w:rsid w:val="1731682D"/>
    <w:rsid w:val="173B7E65"/>
    <w:rsid w:val="17406168"/>
    <w:rsid w:val="175C39C9"/>
    <w:rsid w:val="17654071"/>
    <w:rsid w:val="17671DD7"/>
    <w:rsid w:val="1775020B"/>
    <w:rsid w:val="17756A64"/>
    <w:rsid w:val="177E5132"/>
    <w:rsid w:val="178D06F8"/>
    <w:rsid w:val="179F3426"/>
    <w:rsid w:val="17CE02F8"/>
    <w:rsid w:val="17D63EFB"/>
    <w:rsid w:val="17D802D9"/>
    <w:rsid w:val="17DE56E2"/>
    <w:rsid w:val="180D67AA"/>
    <w:rsid w:val="18115FA7"/>
    <w:rsid w:val="182165C4"/>
    <w:rsid w:val="18245C55"/>
    <w:rsid w:val="182E6FA4"/>
    <w:rsid w:val="18397C4D"/>
    <w:rsid w:val="18437E1B"/>
    <w:rsid w:val="18625B1C"/>
    <w:rsid w:val="188F5243"/>
    <w:rsid w:val="189D2014"/>
    <w:rsid w:val="18A0690E"/>
    <w:rsid w:val="18C4456C"/>
    <w:rsid w:val="18CC0769"/>
    <w:rsid w:val="18E702C9"/>
    <w:rsid w:val="18EF1EAC"/>
    <w:rsid w:val="19020D9F"/>
    <w:rsid w:val="190A1ABA"/>
    <w:rsid w:val="191775ED"/>
    <w:rsid w:val="191D734D"/>
    <w:rsid w:val="192166BD"/>
    <w:rsid w:val="194505FE"/>
    <w:rsid w:val="1952658C"/>
    <w:rsid w:val="195C76F5"/>
    <w:rsid w:val="196138B6"/>
    <w:rsid w:val="196A68DD"/>
    <w:rsid w:val="196F74AB"/>
    <w:rsid w:val="1974541C"/>
    <w:rsid w:val="199A3E11"/>
    <w:rsid w:val="19A813BA"/>
    <w:rsid w:val="19AD1CFF"/>
    <w:rsid w:val="19AD6C87"/>
    <w:rsid w:val="19BB493A"/>
    <w:rsid w:val="19D329E6"/>
    <w:rsid w:val="19D90074"/>
    <w:rsid w:val="19DD0836"/>
    <w:rsid w:val="1A0A4F73"/>
    <w:rsid w:val="1A50207F"/>
    <w:rsid w:val="1A596F79"/>
    <w:rsid w:val="1A73704B"/>
    <w:rsid w:val="1A7D4D49"/>
    <w:rsid w:val="1A9169A7"/>
    <w:rsid w:val="1A966AE4"/>
    <w:rsid w:val="1A98475D"/>
    <w:rsid w:val="1AC52C13"/>
    <w:rsid w:val="1AD7066F"/>
    <w:rsid w:val="1AE325FE"/>
    <w:rsid w:val="1AF5395E"/>
    <w:rsid w:val="1AF66107"/>
    <w:rsid w:val="1AFB2B2B"/>
    <w:rsid w:val="1AFC1719"/>
    <w:rsid w:val="1B0201F1"/>
    <w:rsid w:val="1B0B3181"/>
    <w:rsid w:val="1B130A2D"/>
    <w:rsid w:val="1B1D2B8C"/>
    <w:rsid w:val="1B1E117D"/>
    <w:rsid w:val="1B1E4942"/>
    <w:rsid w:val="1B3A2C32"/>
    <w:rsid w:val="1B410951"/>
    <w:rsid w:val="1B497A2C"/>
    <w:rsid w:val="1B4B16EC"/>
    <w:rsid w:val="1B511C96"/>
    <w:rsid w:val="1B530684"/>
    <w:rsid w:val="1B5946A7"/>
    <w:rsid w:val="1B596248"/>
    <w:rsid w:val="1B6F615D"/>
    <w:rsid w:val="1B751041"/>
    <w:rsid w:val="1B943177"/>
    <w:rsid w:val="1B950DC1"/>
    <w:rsid w:val="1B987429"/>
    <w:rsid w:val="1B9C7BA1"/>
    <w:rsid w:val="1BA106E0"/>
    <w:rsid w:val="1BA36420"/>
    <w:rsid w:val="1BB6133F"/>
    <w:rsid w:val="1BC579B6"/>
    <w:rsid w:val="1BDF2EEC"/>
    <w:rsid w:val="1BE21B0B"/>
    <w:rsid w:val="1BE30BF5"/>
    <w:rsid w:val="1BE90435"/>
    <w:rsid w:val="1BEA4F37"/>
    <w:rsid w:val="1BF807D8"/>
    <w:rsid w:val="1BFA27C7"/>
    <w:rsid w:val="1C061731"/>
    <w:rsid w:val="1C122977"/>
    <w:rsid w:val="1C1B6D76"/>
    <w:rsid w:val="1C1D54D7"/>
    <w:rsid w:val="1C316C17"/>
    <w:rsid w:val="1C32204E"/>
    <w:rsid w:val="1C355336"/>
    <w:rsid w:val="1C406E5A"/>
    <w:rsid w:val="1C423533"/>
    <w:rsid w:val="1C5557E3"/>
    <w:rsid w:val="1C6F57D2"/>
    <w:rsid w:val="1C876837"/>
    <w:rsid w:val="1C8C20A0"/>
    <w:rsid w:val="1C904A13"/>
    <w:rsid w:val="1C9A1E1F"/>
    <w:rsid w:val="1C9B1AA4"/>
    <w:rsid w:val="1CA43D11"/>
    <w:rsid w:val="1CBA09BB"/>
    <w:rsid w:val="1CBB7261"/>
    <w:rsid w:val="1CBE55B6"/>
    <w:rsid w:val="1CC61A56"/>
    <w:rsid w:val="1CD00910"/>
    <w:rsid w:val="1CDA59AA"/>
    <w:rsid w:val="1CF8330D"/>
    <w:rsid w:val="1CF973E3"/>
    <w:rsid w:val="1D027DDF"/>
    <w:rsid w:val="1D266050"/>
    <w:rsid w:val="1D34597E"/>
    <w:rsid w:val="1D3C3AC6"/>
    <w:rsid w:val="1D41732E"/>
    <w:rsid w:val="1D44304E"/>
    <w:rsid w:val="1D4D182F"/>
    <w:rsid w:val="1D514927"/>
    <w:rsid w:val="1D540896"/>
    <w:rsid w:val="1D540DB7"/>
    <w:rsid w:val="1D5A3F4C"/>
    <w:rsid w:val="1D5C4168"/>
    <w:rsid w:val="1D625DD2"/>
    <w:rsid w:val="1D6A5A68"/>
    <w:rsid w:val="1D7846E8"/>
    <w:rsid w:val="1D9C56BE"/>
    <w:rsid w:val="1D9F7271"/>
    <w:rsid w:val="1DA22F6C"/>
    <w:rsid w:val="1DAA4ED3"/>
    <w:rsid w:val="1DBA1B3C"/>
    <w:rsid w:val="1DC52A83"/>
    <w:rsid w:val="1DC6338F"/>
    <w:rsid w:val="1DCF493A"/>
    <w:rsid w:val="1DD81FE2"/>
    <w:rsid w:val="1DDD0994"/>
    <w:rsid w:val="1DE00A2B"/>
    <w:rsid w:val="1E0D7210"/>
    <w:rsid w:val="1E163B83"/>
    <w:rsid w:val="1E2414FA"/>
    <w:rsid w:val="1E2D4A07"/>
    <w:rsid w:val="1E2F362A"/>
    <w:rsid w:val="1E651E55"/>
    <w:rsid w:val="1E65704C"/>
    <w:rsid w:val="1E6F7A34"/>
    <w:rsid w:val="1E7C081D"/>
    <w:rsid w:val="1E7E006C"/>
    <w:rsid w:val="1E7F2AAF"/>
    <w:rsid w:val="1E8E20FF"/>
    <w:rsid w:val="1E917E41"/>
    <w:rsid w:val="1EA062D6"/>
    <w:rsid w:val="1EA638ED"/>
    <w:rsid w:val="1EB268D8"/>
    <w:rsid w:val="1EDE6925"/>
    <w:rsid w:val="1EFC5720"/>
    <w:rsid w:val="1EFE1EA7"/>
    <w:rsid w:val="1F02489B"/>
    <w:rsid w:val="1F091B1C"/>
    <w:rsid w:val="1F274302"/>
    <w:rsid w:val="1F32665A"/>
    <w:rsid w:val="1F4415A6"/>
    <w:rsid w:val="1F4614BC"/>
    <w:rsid w:val="1F572E39"/>
    <w:rsid w:val="1F816E9C"/>
    <w:rsid w:val="1F82574E"/>
    <w:rsid w:val="1F893D64"/>
    <w:rsid w:val="1F923E71"/>
    <w:rsid w:val="1F9A0886"/>
    <w:rsid w:val="1FAF5729"/>
    <w:rsid w:val="1FB04EF2"/>
    <w:rsid w:val="1FB57B5F"/>
    <w:rsid w:val="1FD224BF"/>
    <w:rsid w:val="1FD61FB0"/>
    <w:rsid w:val="1FDC50EC"/>
    <w:rsid w:val="1FE63CBB"/>
    <w:rsid w:val="1FF65383"/>
    <w:rsid w:val="200237BC"/>
    <w:rsid w:val="20224126"/>
    <w:rsid w:val="20335EC3"/>
    <w:rsid w:val="203A4994"/>
    <w:rsid w:val="20436CFE"/>
    <w:rsid w:val="2055130D"/>
    <w:rsid w:val="20605602"/>
    <w:rsid w:val="2081340F"/>
    <w:rsid w:val="208C0EFF"/>
    <w:rsid w:val="209C728D"/>
    <w:rsid w:val="20A12D00"/>
    <w:rsid w:val="20A4390E"/>
    <w:rsid w:val="20B215A3"/>
    <w:rsid w:val="20B234C6"/>
    <w:rsid w:val="20BB02B9"/>
    <w:rsid w:val="20C37D0C"/>
    <w:rsid w:val="20CB6E6D"/>
    <w:rsid w:val="20D748F4"/>
    <w:rsid w:val="20D84335"/>
    <w:rsid w:val="20DD115A"/>
    <w:rsid w:val="2111359B"/>
    <w:rsid w:val="21223D7C"/>
    <w:rsid w:val="212B00D9"/>
    <w:rsid w:val="212E1977"/>
    <w:rsid w:val="21486EDD"/>
    <w:rsid w:val="21497278"/>
    <w:rsid w:val="215A701D"/>
    <w:rsid w:val="216C25ED"/>
    <w:rsid w:val="21893CDC"/>
    <w:rsid w:val="21A016D4"/>
    <w:rsid w:val="21A34005"/>
    <w:rsid w:val="21A6642F"/>
    <w:rsid w:val="21AF762F"/>
    <w:rsid w:val="21B61F52"/>
    <w:rsid w:val="21B94AAF"/>
    <w:rsid w:val="21BC76DD"/>
    <w:rsid w:val="21C17534"/>
    <w:rsid w:val="21C65756"/>
    <w:rsid w:val="21C67161"/>
    <w:rsid w:val="21CF4BCA"/>
    <w:rsid w:val="21D15954"/>
    <w:rsid w:val="21E01C25"/>
    <w:rsid w:val="21F901D7"/>
    <w:rsid w:val="220C21E7"/>
    <w:rsid w:val="221B28B1"/>
    <w:rsid w:val="221B74AF"/>
    <w:rsid w:val="221F7512"/>
    <w:rsid w:val="22244B28"/>
    <w:rsid w:val="222851C4"/>
    <w:rsid w:val="222B156C"/>
    <w:rsid w:val="22356D36"/>
    <w:rsid w:val="22370D00"/>
    <w:rsid w:val="223E2636"/>
    <w:rsid w:val="2246271F"/>
    <w:rsid w:val="225E003A"/>
    <w:rsid w:val="22762EA9"/>
    <w:rsid w:val="227A6A1B"/>
    <w:rsid w:val="22803E07"/>
    <w:rsid w:val="228B3E81"/>
    <w:rsid w:val="229F2CE2"/>
    <w:rsid w:val="22B26983"/>
    <w:rsid w:val="22C51945"/>
    <w:rsid w:val="22D327D6"/>
    <w:rsid w:val="22D5724B"/>
    <w:rsid w:val="22DE117B"/>
    <w:rsid w:val="22DE4EA7"/>
    <w:rsid w:val="22E41092"/>
    <w:rsid w:val="22EA513C"/>
    <w:rsid w:val="22EB1ED1"/>
    <w:rsid w:val="230010F2"/>
    <w:rsid w:val="230043C6"/>
    <w:rsid w:val="230E6FED"/>
    <w:rsid w:val="23104BF2"/>
    <w:rsid w:val="231A6B74"/>
    <w:rsid w:val="23305E7B"/>
    <w:rsid w:val="23360FB7"/>
    <w:rsid w:val="233E640A"/>
    <w:rsid w:val="23461B9F"/>
    <w:rsid w:val="23476D20"/>
    <w:rsid w:val="234B6811"/>
    <w:rsid w:val="234D7DEC"/>
    <w:rsid w:val="23502860"/>
    <w:rsid w:val="23537D8D"/>
    <w:rsid w:val="23641680"/>
    <w:rsid w:val="236C49D9"/>
    <w:rsid w:val="2375388E"/>
    <w:rsid w:val="237A543E"/>
    <w:rsid w:val="237F470C"/>
    <w:rsid w:val="238C6E29"/>
    <w:rsid w:val="239248EE"/>
    <w:rsid w:val="2393640A"/>
    <w:rsid w:val="239F4031"/>
    <w:rsid w:val="23A12404"/>
    <w:rsid w:val="23A44173"/>
    <w:rsid w:val="23AB3753"/>
    <w:rsid w:val="23C65C3E"/>
    <w:rsid w:val="23CC0018"/>
    <w:rsid w:val="23CE2F9E"/>
    <w:rsid w:val="23D82E75"/>
    <w:rsid w:val="23E87B94"/>
    <w:rsid w:val="23F01AE0"/>
    <w:rsid w:val="23FB7198"/>
    <w:rsid w:val="24013C93"/>
    <w:rsid w:val="241C58C1"/>
    <w:rsid w:val="242552B4"/>
    <w:rsid w:val="24311EAA"/>
    <w:rsid w:val="243674C1"/>
    <w:rsid w:val="24421EE4"/>
    <w:rsid w:val="244553B0"/>
    <w:rsid w:val="2447071D"/>
    <w:rsid w:val="24531956"/>
    <w:rsid w:val="24774EC1"/>
    <w:rsid w:val="24BB786B"/>
    <w:rsid w:val="24C25E55"/>
    <w:rsid w:val="24C525F3"/>
    <w:rsid w:val="24DA7C0C"/>
    <w:rsid w:val="24DB18B3"/>
    <w:rsid w:val="24ED38F7"/>
    <w:rsid w:val="24F26973"/>
    <w:rsid w:val="24F42ED8"/>
    <w:rsid w:val="251E2460"/>
    <w:rsid w:val="251E5A54"/>
    <w:rsid w:val="2535309C"/>
    <w:rsid w:val="253654BC"/>
    <w:rsid w:val="25493054"/>
    <w:rsid w:val="254C4AC2"/>
    <w:rsid w:val="25583467"/>
    <w:rsid w:val="25600CBB"/>
    <w:rsid w:val="25607E4B"/>
    <w:rsid w:val="256472D8"/>
    <w:rsid w:val="256F140C"/>
    <w:rsid w:val="25A246E2"/>
    <w:rsid w:val="25B33EF1"/>
    <w:rsid w:val="25B34B41"/>
    <w:rsid w:val="25C5414F"/>
    <w:rsid w:val="25CA6E09"/>
    <w:rsid w:val="25CB3B38"/>
    <w:rsid w:val="25E42581"/>
    <w:rsid w:val="25F50CB6"/>
    <w:rsid w:val="25FE2B31"/>
    <w:rsid w:val="260016E6"/>
    <w:rsid w:val="260525BD"/>
    <w:rsid w:val="261F4323"/>
    <w:rsid w:val="2635298F"/>
    <w:rsid w:val="26470F89"/>
    <w:rsid w:val="264D08CA"/>
    <w:rsid w:val="26522C8D"/>
    <w:rsid w:val="26562838"/>
    <w:rsid w:val="26684BBB"/>
    <w:rsid w:val="267B725B"/>
    <w:rsid w:val="2686568A"/>
    <w:rsid w:val="26865ED8"/>
    <w:rsid w:val="26904F49"/>
    <w:rsid w:val="26993D37"/>
    <w:rsid w:val="26A26963"/>
    <w:rsid w:val="26AA5F44"/>
    <w:rsid w:val="26AF53C4"/>
    <w:rsid w:val="26C850AD"/>
    <w:rsid w:val="26C9729F"/>
    <w:rsid w:val="26D23572"/>
    <w:rsid w:val="26D46B1D"/>
    <w:rsid w:val="26DE5BEE"/>
    <w:rsid w:val="26E34323"/>
    <w:rsid w:val="26E37A2C"/>
    <w:rsid w:val="26ED5E31"/>
    <w:rsid w:val="270F77B0"/>
    <w:rsid w:val="272A2BE1"/>
    <w:rsid w:val="27315D1D"/>
    <w:rsid w:val="2732478D"/>
    <w:rsid w:val="27450BAC"/>
    <w:rsid w:val="274911F4"/>
    <w:rsid w:val="274C0DA9"/>
    <w:rsid w:val="274C1AFB"/>
    <w:rsid w:val="275F216D"/>
    <w:rsid w:val="276C1B9A"/>
    <w:rsid w:val="278A3680"/>
    <w:rsid w:val="27914A0E"/>
    <w:rsid w:val="279369D8"/>
    <w:rsid w:val="279E11D5"/>
    <w:rsid w:val="27A243AF"/>
    <w:rsid w:val="27A94EB7"/>
    <w:rsid w:val="27AC318C"/>
    <w:rsid w:val="27B33019"/>
    <w:rsid w:val="27BE67C9"/>
    <w:rsid w:val="27C93064"/>
    <w:rsid w:val="27CD6705"/>
    <w:rsid w:val="27DA0163"/>
    <w:rsid w:val="27DA376A"/>
    <w:rsid w:val="27DC1AFE"/>
    <w:rsid w:val="27E76F8A"/>
    <w:rsid w:val="28316238"/>
    <w:rsid w:val="28485FFE"/>
    <w:rsid w:val="284E0B51"/>
    <w:rsid w:val="286F2FA1"/>
    <w:rsid w:val="28952684"/>
    <w:rsid w:val="289C7B0E"/>
    <w:rsid w:val="28A5750F"/>
    <w:rsid w:val="28A73CC4"/>
    <w:rsid w:val="28A81A10"/>
    <w:rsid w:val="28AD5878"/>
    <w:rsid w:val="28B6125E"/>
    <w:rsid w:val="28BC70FA"/>
    <w:rsid w:val="28BD7BFD"/>
    <w:rsid w:val="28C005E6"/>
    <w:rsid w:val="28CA467C"/>
    <w:rsid w:val="28D728F5"/>
    <w:rsid w:val="28DB1A73"/>
    <w:rsid w:val="28E1264A"/>
    <w:rsid w:val="28E31B32"/>
    <w:rsid w:val="28E72633"/>
    <w:rsid w:val="29080D00"/>
    <w:rsid w:val="290B134C"/>
    <w:rsid w:val="2912392D"/>
    <w:rsid w:val="291726F5"/>
    <w:rsid w:val="292E6355"/>
    <w:rsid w:val="29354EE6"/>
    <w:rsid w:val="293B11F2"/>
    <w:rsid w:val="29451F54"/>
    <w:rsid w:val="295108F9"/>
    <w:rsid w:val="2958510C"/>
    <w:rsid w:val="295E3016"/>
    <w:rsid w:val="296C2D63"/>
    <w:rsid w:val="296D3A7A"/>
    <w:rsid w:val="29701E5C"/>
    <w:rsid w:val="29785E86"/>
    <w:rsid w:val="297D67BB"/>
    <w:rsid w:val="298A7967"/>
    <w:rsid w:val="29916F47"/>
    <w:rsid w:val="299B1D3E"/>
    <w:rsid w:val="299B7DC6"/>
    <w:rsid w:val="29A53FE1"/>
    <w:rsid w:val="29A71B7B"/>
    <w:rsid w:val="29A96106"/>
    <w:rsid w:val="29B3119E"/>
    <w:rsid w:val="29B65B9D"/>
    <w:rsid w:val="29CD7A1E"/>
    <w:rsid w:val="29CF181E"/>
    <w:rsid w:val="29DF5F05"/>
    <w:rsid w:val="29EC2720"/>
    <w:rsid w:val="2A010565"/>
    <w:rsid w:val="2A027E45"/>
    <w:rsid w:val="2A0A1BAB"/>
    <w:rsid w:val="2A321A45"/>
    <w:rsid w:val="2A3A75B6"/>
    <w:rsid w:val="2A410596"/>
    <w:rsid w:val="2A450A1E"/>
    <w:rsid w:val="2A47213D"/>
    <w:rsid w:val="2A4E308A"/>
    <w:rsid w:val="2A634987"/>
    <w:rsid w:val="2A6D5736"/>
    <w:rsid w:val="2A8B4CB1"/>
    <w:rsid w:val="2A924D25"/>
    <w:rsid w:val="2A9C2A50"/>
    <w:rsid w:val="2AA44602"/>
    <w:rsid w:val="2AB83917"/>
    <w:rsid w:val="2ABA7F5B"/>
    <w:rsid w:val="2ABC6246"/>
    <w:rsid w:val="2AC5334C"/>
    <w:rsid w:val="2AC71B20"/>
    <w:rsid w:val="2AC93DBF"/>
    <w:rsid w:val="2AE764AE"/>
    <w:rsid w:val="2AF10B00"/>
    <w:rsid w:val="2AF43712"/>
    <w:rsid w:val="2AF845B8"/>
    <w:rsid w:val="2B0C2313"/>
    <w:rsid w:val="2B1020EE"/>
    <w:rsid w:val="2B297614"/>
    <w:rsid w:val="2B3F33CA"/>
    <w:rsid w:val="2B3F6309"/>
    <w:rsid w:val="2B4759C9"/>
    <w:rsid w:val="2B592BB0"/>
    <w:rsid w:val="2B60255B"/>
    <w:rsid w:val="2B6427DE"/>
    <w:rsid w:val="2B715D5A"/>
    <w:rsid w:val="2B823D8B"/>
    <w:rsid w:val="2B880D13"/>
    <w:rsid w:val="2B906F6D"/>
    <w:rsid w:val="2B964CE9"/>
    <w:rsid w:val="2B996125"/>
    <w:rsid w:val="2BAB1468"/>
    <w:rsid w:val="2BB132FD"/>
    <w:rsid w:val="2BB33C78"/>
    <w:rsid w:val="2BC71C44"/>
    <w:rsid w:val="2BC93E7E"/>
    <w:rsid w:val="2BCE7FDF"/>
    <w:rsid w:val="2BD332B8"/>
    <w:rsid w:val="2BDB2AE3"/>
    <w:rsid w:val="2BE47802"/>
    <w:rsid w:val="2BE94B33"/>
    <w:rsid w:val="2C094795"/>
    <w:rsid w:val="2C0A245A"/>
    <w:rsid w:val="2C0C1F4D"/>
    <w:rsid w:val="2C0F59BD"/>
    <w:rsid w:val="2C1520B2"/>
    <w:rsid w:val="2C1B41F2"/>
    <w:rsid w:val="2C273823"/>
    <w:rsid w:val="2C283E84"/>
    <w:rsid w:val="2C3167C0"/>
    <w:rsid w:val="2C376D23"/>
    <w:rsid w:val="2C544CAD"/>
    <w:rsid w:val="2C5C383D"/>
    <w:rsid w:val="2C65448F"/>
    <w:rsid w:val="2C6B7F24"/>
    <w:rsid w:val="2C717A1F"/>
    <w:rsid w:val="2C7B1249"/>
    <w:rsid w:val="2C7C0CBF"/>
    <w:rsid w:val="2C803D25"/>
    <w:rsid w:val="2C896078"/>
    <w:rsid w:val="2C8A7A30"/>
    <w:rsid w:val="2CA57561"/>
    <w:rsid w:val="2CA70830"/>
    <w:rsid w:val="2CA927FA"/>
    <w:rsid w:val="2CAD3ED7"/>
    <w:rsid w:val="2CDC2BCF"/>
    <w:rsid w:val="2CED6B8B"/>
    <w:rsid w:val="2CF03F85"/>
    <w:rsid w:val="2CF61AC3"/>
    <w:rsid w:val="2CFE66A2"/>
    <w:rsid w:val="2D03015C"/>
    <w:rsid w:val="2D0631B4"/>
    <w:rsid w:val="2D0B7011"/>
    <w:rsid w:val="2D1A5575"/>
    <w:rsid w:val="2D1D66E1"/>
    <w:rsid w:val="2D26493A"/>
    <w:rsid w:val="2D405FFF"/>
    <w:rsid w:val="2D567BED"/>
    <w:rsid w:val="2D583E54"/>
    <w:rsid w:val="2D591CE4"/>
    <w:rsid w:val="2D651F71"/>
    <w:rsid w:val="2D8F19F0"/>
    <w:rsid w:val="2D9E3EE5"/>
    <w:rsid w:val="2DB846BC"/>
    <w:rsid w:val="2DEB679E"/>
    <w:rsid w:val="2E02176B"/>
    <w:rsid w:val="2E0665F1"/>
    <w:rsid w:val="2E074EB4"/>
    <w:rsid w:val="2E091797"/>
    <w:rsid w:val="2E0F2B31"/>
    <w:rsid w:val="2E106174"/>
    <w:rsid w:val="2E1343CF"/>
    <w:rsid w:val="2E2F24A3"/>
    <w:rsid w:val="2E42395C"/>
    <w:rsid w:val="2E531266"/>
    <w:rsid w:val="2E7F5800"/>
    <w:rsid w:val="2E802E56"/>
    <w:rsid w:val="2EAC4B33"/>
    <w:rsid w:val="2EB711FE"/>
    <w:rsid w:val="2EBB5196"/>
    <w:rsid w:val="2EC13E2B"/>
    <w:rsid w:val="2ECC11C9"/>
    <w:rsid w:val="2ECF5724"/>
    <w:rsid w:val="2ED17A40"/>
    <w:rsid w:val="2ED35D91"/>
    <w:rsid w:val="2ED83965"/>
    <w:rsid w:val="2EE04163"/>
    <w:rsid w:val="2EFF2BA5"/>
    <w:rsid w:val="2F041F69"/>
    <w:rsid w:val="2F060BAD"/>
    <w:rsid w:val="2F1505F4"/>
    <w:rsid w:val="2F1A353B"/>
    <w:rsid w:val="2F3C216D"/>
    <w:rsid w:val="2F4058E6"/>
    <w:rsid w:val="2F4B26CD"/>
    <w:rsid w:val="2F4F67F6"/>
    <w:rsid w:val="2F57653D"/>
    <w:rsid w:val="2F5B602D"/>
    <w:rsid w:val="2F5F4047"/>
    <w:rsid w:val="2F634EE2"/>
    <w:rsid w:val="2F6F3887"/>
    <w:rsid w:val="2F706B6F"/>
    <w:rsid w:val="2F723377"/>
    <w:rsid w:val="2F755688"/>
    <w:rsid w:val="2F7914EB"/>
    <w:rsid w:val="2F7C0857"/>
    <w:rsid w:val="2F9B0400"/>
    <w:rsid w:val="2F9B23DF"/>
    <w:rsid w:val="2FA84FEB"/>
    <w:rsid w:val="2FBD7FED"/>
    <w:rsid w:val="2FC02D3A"/>
    <w:rsid w:val="2FC35981"/>
    <w:rsid w:val="2FC5732C"/>
    <w:rsid w:val="2FC71915"/>
    <w:rsid w:val="2FCE470B"/>
    <w:rsid w:val="2FD23E16"/>
    <w:rsid w:val="2FD76EFE"/>
    <w:rsid w:val="2FE57FED"/>
    <w:rsid w:val="2FEF6212"/>
    <w:rsid w:val="30231C12"/>
    <w:rsid w:val="30234671"/>
    <w:rsid w:val="302414B9"/>
    <w:rsid w:val="30266459"/>
    <w:rsid w:val="30326802"/>
    <w:rsid w:val="303947E6"/>
    <w:rsid w:val="30470360"/>
    <w:rsid w:val="30482CAF"/>
    <w:rsid w:val="30586A11"/>
    <w:rsid w:val="306B4D61"/>
    <w:rsid w:val="306D224E"/>
    <w:rsid w:val="306E3B3E"/>
    <w:rsid w:val="3079289A"/>
    <w:rsid w:val="307943E5"/>
    <w:rsid w:val="30797A5F"/>
    <w:rsid w:val="307A24E3"/>
    <w:rsid w:val="307D0225"/>
    <w:rsid w:val="307F0D4E"/>
    <w:rsid w:val="30801AC4"/>
    <w:rsid w:val="30896BCA"/>
    <w:rsid w:val="308C2216"/>
    <w:rsid w:val="308E2BA9"/>
    <w:rsid w:val="30A12166"/>
    <w:rsid w:val="30A336F1"/>
    <w:rsid w:val="30B11C7D"/>
    <w:rsid w:val="30D2231F"/>
    <w:rsid w:val="30DA11D4"/>
    <w:rsid w:val="30E402A4"/>
    <w:rsid w:val="30E42070"/>
    <w:rsid w:val="30E45E57"/>
    <w:rsid w:val="30E65DCB"/>
    <w:rsid w:val="30F2476F"/>
    <w:rsid w:val="30FB79CF"/>
    <w:rsid w:val="31102E48"/>
    <w:rsid w:val="311F0D7B"/>
    <w:rsid w:val="31350B00"/>
    <w:rsid w:val="31503B0C"/>
    <w:rsid w:val="31534307"/>
    <w:rsid w:val="31552F50"/>
    <w:rsid w:val="3158388D"/>
    <w:rsid w:val="315A0275"/>
    <w:rsid w:val="316528E5"/>
    <w:rsid w:val="318178A1"/>
    <w:rsid w:val="319901C5"/>
    <w:rsid w:val="31990466"/>
    <w:rsid w:val="319B4E07"/>
    <w:rsid w:val="31AE27B5"/>
    <w:rsid w:val="31BD62B4"/>
    <w:rsid w:val="31C14142"/>
    <w:rsid w:val="31CC3212"/>
    <w:rsid w:val="31E64099"/>
    <w:rsid w:val="31F2614C"/>
    <w:rsid w:val="31F41E38"/>
    <w:rsid w:val="31F44517"/>
    <w:rsid w:val="31F632B6"/>
    <w:rsid w:val="32024E86"/>
    <w:rsid w:val="32252923"/>
    <w:rsid w:val="322700A2"/>
    <w:rsid w:val="32306BB8"/>
    <w:rsid w:val="324059AE"/>
    <w:rsid w:val="32454D73"/>
    <w:rsid w:val="324D6A2C"/>
    <w:rsid w:val="324E1C82"/>
    <w:rsid w:val="32582CF8"/>
    <w:rsid w:val="325960AD"/>
    <w:rsid w:val="329B0E37"/>
    <w:rsid w:val="329C7909"/>
    <w:rsid w:val="32B01391"/>
    <w:rsid w:val="32BC141B"/>
    <w:rsid w:val="32C75788"/>
    <w:rsid w:val="32CB34CA"/>
    <w:rsid w:val="32D63637"/>
    <w:rsid w:val="32DA2538"/>
    <w:rsid w:val="32EE0F67"/>
    <w:rsid w:val="32EF7D87"/>
    <w:rsid w:val="32FB04BD"/>
    <w:rsid w:val="32FF1A9B"/>
    <w:rsid w:val="330C0660"/>
    <w:rsid w:val="332350B4"/>
    <w:rsid w:val="332771BC"/>
    <w:rsid w:val="332901F1"/>
    <w:rsid w:val="332D6825"/>
    <w:rsid w:val="33382659"/>
    <w:rsid w:val="33462ABD"/>
    <w:rsid w:val="3352058F"/>
    <w:rsid w:val="33574D5E"/>
    <w:rsid w:val="337A53FA"/>
    <w:rsid w:val="339F6AC1"/>
    <w:rsid w:val="33BA46CF"/>
    <w:rsid w:val="33BE77B4"/>
    <w:rsid w:val="33C10429"/>
    <w:rsid w:val="33C341A1"/>
    <w:rsid w:val="33C50630"/>
    <w:rsid w:val="33C92FDD"/>
    <w:rsid w:val="33EB4DE8"/>
    <w:rsid w:val="33EC5824"/>
    <w:rsid w:val="33FF778B"/>
    <w:rsid w:val="340842AA"/>
    <w:rsid w:val="340F73E6"/>
    <w:rsid w:val="34117602"/>
    <w:rsid w:val="342A6F7B"/>
    <w:rsid w:val="342A7BA0"/>
    <w:rsid w:val="344509F9"/>
    <w:rsid w:val="344A48C2"/>
    <w:rsid w:val="346E05B1"/>
    <w:rsid w:val="348117CF"/>
    <w:rsid w:val="34865D22"/>
    <w:rsid w:val="34871673"/>
    <w:rsid w:val="348D23BC"/>
    <w:rsid w:val="34A614B6"/>
    <w:rsid w:val="34B97B11"/>
    <w:rsid w:val="34CA155F"/>
    <w:rsid w:val="34D10E70"/>
    <w:rsid w:val="34D22F4E"/>
    <w:rsid w:val="34EF4F71"/>
    <w:rsid w:val="34F25B0A"/>
    <w:rsid w:val="35044A71"/>
    <w:rsid w:val="352660B5"/>
    <w:rsid w:val="353F1C96"/>
    <w:rsid w:val="353F1F4D"/>
    <w:rsid w:val="355050B6"/>
    <w:rsid w:val="35715D7B"/>
    <w:rsid w:val="35826BD2"/>
    <w:rsid w:val="358D2CB9"/>
    <w:rsid w:val="358E1751"/>
    <w:rsid w:val="359E6C74"/>
    <w:rsid w:val="35A10B79"/>
    <w:rsid w:val="35A149B6"/>
    <w:rsid w:val="35A60772"/>
    <w:rsid w:val="35B9585C"/>
    <w:rsid w:val="35BD3753"/>
    <w:rsid w:val="35C92943"/>
    <w:rsid w:val="35CF42CA"/>
    <w:rsid w:val="35CF5E74"/>
    <w:rsid w:val="35D77CEC"/>
    <w:rsid w:val="35DC154A"/>
    <w:rsid w:val="36293B21"/>
    <w:rsid w:val="362D4A19"/>
    <w:rsid w:val="363F0E6E"/>
    <w:rsid w:val="367E0853"/>
    <w:rsid w:val="368B6F9F"/>
    <w:rsid w:val="368F480F"/>
    <w:rsid w:val="36A73E4F"/>
    <w:rsid w:val="36AC7FEA"/>
    <w:rsid w:val="36C1706E"/>
    <w:rsid w:val="36D53718"/>
    <w:rsid w:val="36D54C76"/>
    <w:rsid w:val="36D8521D"/>
    <w:rsid w:val="36D96C46"/>
    <w:rsid w:val="36E3362D"/>
    <w:rsid w:val="36E43FB2"/>
    <w:rsid w:val="36E83F1F"/>
    <w:rsid w:val="36EB2520"/>
    <w:rsid w:val="36F369CE"/>
    <w:rsid w:val="36F54FB9"/>
    <w:rsid w:val="36F836BA"/>
    <w:rsid w:val="37072D8A"/>
    <w:rsid w:val="3710594F"/>
    <w:rsid w:val="371A5B0B"/>
    <w:rsid w:val="37315653"/>
    <w:rsid w:val="37424172"/>
    <w:rsid w:val="37440F0A"/>
    <w:rsid w:val="374970B3"/>
    <w:rsid w:val="375A12C0"/>
    <w:rsid w:val="375F4E6C"/>
    <w:rsid w:val="378520A9"/>
    <w:rsid w:val="378B52D9"/>
    <w:rsid w:val="379753A2"/>
    <w:rsid w:val="37BB0E12"/>
    <w:rsid w:val="37C4498C"/>
    <w:rsid w:val="37C87FD8"/>
    <w:rsid w:val="37DF17C6"/>
    <w:rsid w:val="37E1109A"/>
    <w:rsid w:val="37E64C48"/>
    <w:rsid w:val="37E666B0"/>
    <w:rsid w:val="380A2CBD"/>
    <w:rsid w:val="381274A5"/>
    <w:rsid w:val="381A72E8"/>
    <w:rsid w:val="38211DB8"/>
    <w:rsid w:val="38213B8C"/>
    <w:rsid w:val="38303DCF"/>
    <w:rsid w:val="38341B11"/>
    <w:rsid w:val="38342E0E"/>
    <w:rsid w:val="3838582D"/>
    <w:rsid w:val="38400157"/>
    <w:rsid w:val="384004B6"/>
    <w:rsid w:val="384653A1"/>
    <w:rsid w:val="384B7C91"/>
    <w:rsid w:val="3857135C"/>
    <w:rsid w:val="385C69BF"/>
    <w:rsid w:val="385D20A6"/>
    <w:rsid w:val="385F3E95"/>
    <w:rsid w:val="386D50ED"/>
    <w:rsid w:val="387D2CA8"/>
    <w:rsid w:val="38946265"/>
    <w:rsid w:val="38A04AB1"/>
    <w:rsid w:val="38AC78FA"/>
    <w:rsid w:val="38E56968"/>
    <w:rsid w:val="38FD3E98"/>
    <w:rsid w:val="38FE4E2B"/>
    <w:rsid w:val="39035051"/>
    <w:rsid w:val="390E2362"/>
    <w:rsid w:val="390E5AFB"/>
    <w:rsid w:val="39377035"/>
    <w:rsid w:val="394A2D76"/>
    <w:rsid w:val="39552444"/>
    <w:rsid w:val="39695EAB"/>
    <w:rsid w:val="39744E1D"/>
    <w:rsid w:val="39763A64"/>
    <w:rsid w:val="39785A2E"/>
    <w:rsid w:val="397E5FE3"/>
    <w:rsid w:val="398B4D6E"/>
    <w:rsid w:val="39942EF1"/>
    <w:rsid w:val="39B673F0"/>
    <w:rsid w:val="39C2541D"/>
    <w:rsid w:val="39CA5321"/>
    <w:rsid w:val="39D35DED"/>
    <w:rsid w:val="39DA0497"/>
    <w:rsid w:val="39DB2560"/>
    <w:rsid w:val="39E364C5"/>
    <w:rsid w:val="39E552D2"/>
    <w:rsid w:val="3A017D3F"/>
    <w:rsid w:val="3A1032F0"/>
    <w:rsid w:val="3A1C285D"/>
    <w:rsid w:val="3A304F3B"/>
    <w:rsid w:val="3A3A33BD"/>
    <w:rsid w:val="3A3C2EFF"/>
    <w:rsid w:val="3A4B4718"/>
    <w:rsid w:val="3A4C3B85"/>
    <w:rsid w:val="3A4D6EBA"/>
    <w:rsid w:val="3A52764D"/>
    <w:rsid w:val="3A5A3AD3"/>
    <w:rsid w:val="3A5E69D2"/>
    <w:rsid w:val="3A7461F5"/>
    <w:rsid w:val="3A7C5EFB"/>
    <w:rsid w:val="3A7E7074"/>
    <w:rsid w:val="3AA06EC0"/>
    <w:rsid w:val="3AA375EA"/>
    <w:rsid w:val="3AAF547F"/>
    <w:rsid w:val="3ABA5BBD"/>
    <w:rsid w:val="3AC23D63"/>
    <w:rsid w:val="3ACE7226"/>
    <w:rsid w:val="3AE8504A"/>
    <w:rsid w:val="3AEE244B"/>
    <w:rsid w:val="3AF15E2D"/>
    <w:rsid w:val="3AF34982"/>
    <w:rsid w:val="3AFC4BC0"/>
    <w:rsid w:val="3B3047EC"/>
    <w:rsid w:val="3B337E5E"/>
    <w:rsid w:val="3B3A186D"/>
    <w:rsid w:val="3B3A743F"/>
    <w:rsid w:val="3B521789"/>
    <w:rsid w:val="3B590BAE"/>
    <w:rsid w:val="3B675D5A"/>
    <w:rsid w:val="3B6811E8"/>
    <w:rsid w:val="3B6A16C2"/>
    <w:rsid w:val="3B7102F5"/>
    <w:rsid w:val="3B714E2B"/>
    <w:rsid w:val="3B806E1C"/>
    <w:rsid w:val="3B926043"/>
    <w:rsid w:val="3B9455D3"/>
    <w:rsid w:val="3BAA122E"/>
    <w:rsid w:val="3BAA4BD7"/>
    <w:rsid w:val="3BAF44C8"/>
    <w:rsid w:val="3BBC42F8"/>
    <w:rsid w:val="3BBF453A"/>
    <w:rsid w:val="3BC1190E"/>
    <w:rsid w:val="3BD57167"/>
    <w:rsid w:val="3BF43B69"/>
    <w:rsid w:val="3C08177A"/>
    <w:rsid w:val="3C0E55F6"/>
    <w:rsid w:val="3C125CC6"/>
    <w:rsid w:val="3C204386"/>
    <w:rsid w:val="3C3C2D43"/>
    <w:rsid w:val="3C3F0ED3"/>
    <w:rsid w:val="3C410359"/>
    <w:rsid w:val="3C410DCA"/>
    <w:rsid w:val="3C572F8F"/>
    <w:rsid w:val="3C92284B"/>
    <w:rsid w:val="3CA514AE"/>
    <w:rsid w:val="3CAA4917"/>
    <w:rsid w:val="3CAD1E92"/>
    <w:rsid w:val="3CAD4946"/>
    <w:rsid w:val="3CCC056A"/>
    <w:rsid w:val="3CD016DD"/>
    <w:rsid w:val="3CD13DD3"/>
    <w:rsid w:val="3CDF60BC"/>
    <w:rsid w:val="3CEC2D41"/>
    <w:rsid w:val="3CEF24AB"/>
    <w:rsid w:val="3CF04229"/>
    <w:rsid w:val="3CF74404"/>
    <w:rsid w:val="3CFA5193"/>
    <w:rsid w:val="3D003EAE"/>
    <w:rsid w:val="3D0E0737"/>
    <w:rsid w:val="3D1E05B3"/>
    <w:rsid w:val="3D257C7B"/>
    <w:rsid w:val="3D324146"/>
    <w:rsid w:val="3D4A11B7"/>
    <w:rsid w:val="3D4E37F8"/>
    <w:rsid w:val="3D600CB3"/>
    <w:rsid w:val="3D6E6DE2"/>
    <w:rsid w:val="3D7F04B3"/>
    <w:rsid w:val="3D890EE7"/>
    <w:rsid w:val="3D8E5820"/>
    <w:rsid w:val="3D9F527F"/>
    <w:rsid w:val="3DB470BD"/>
    <w:rsid w:val="3DB565BB"/>
    <w:rsid w:val="3DBB0A8D"/>
    <w:rsid w:val="3DC079A3"/>
    <w:rsid w:val="3DD14D87"/>
    <w:rsid w:val="3DD3511F"/>
    <w:rsid w:val="3DDC089F"/>
    <w:rsid w:val="3DF53AF1"/>
    <w:rsid w:val="3DFA182A"/>
    <w:rsid w:val="3DFF04CC"/>
    <w:rsid w:val="3E1A70B4"/>
    <w:rsid w:val="3E2F136B"/>
    <w:rsid w:val="3E330175"/>
    <w:rsid w:val="3E417B09"/>
    <w:rsid w:val="3E42109B"/>
    <w:rsid w:val="3E4D7093"/>
    <w:rsid w:val="3E587BDC"/>
    <w:rsid w:val="3E5901E8"/>
    <w:rsid w:val="3E5E79C7"/>
    <w:rsid w:val="3E7022C7"/>
    <w:rsid w:val="3E9C5D1B"/>
    <w:rsid w:val="3EAF1EF2"/>
    <w:rsid w:val="3EB323EF"/>
    <w:rsid w:val="3EC10BF1"/>
    <w:rsid w:val="3EC314F9"/>
    <w:rsid w:val="3EC53E1D"/>
    <w:rsid w:val="3ED41958"/>
    <w:rsid w:val="3EEF5CBD"/>
    <w:rsid w:val="3EF00151"/>
    <w:rsid w:val="3EF5367D"/>
    <w:rsid w:val="3F022DC2"/>
    <w:rsid w:val="3F0538C0"/>
    <w:rsid w:val="3F0702B0"/>
    <w:rsid w:val="3F087854"/>
    <w:rsid w:val="3F110BCB"/>
    <w:rsid w:val="3F2B709E"/>
    <w:rsid w:val="3F395C5F"/>
    <w:rsid w:val="3F485EA2"/>
    <w:rsid w:val="3F584FE7"/>
    <w:rsid w:val="3F634A8A"/>
    <w:rsid w:val="3F8069B6"/>
    <w:rsid w:val="3F942E96"/>
    <w:rsid w:val="3F9711AC"/>
    <w:rsid w:val="3F9966FE"/>
    <w:rsid w:val="3FA529C0"/>
    <w:rsid w:val="3FAF4D09"/>
    <w:rsid w:val="3FB57CCA"/>
    <w:rsid w:val="3FBB2DA6"/>
    <w:rsid w:val="3FC905B8"/>
    <w:rsid w:val="3FCA3D98"/>
    <w:rsid w:val="3FD65289"/>
    <w:rsid w:val="3FD976DF"/>
    <w:rsid w:val="3FDA2F9E"/>
    <w:rsid w:val="40046D20"/>
    <w:rsid w:val="40097455"/>
    <w:rsid w:val="400A0FF2"/>
    <w:rsid w:val="401D01E4"/>
    <w:rsid w:val="40210BCD"/>
    <w:rsid w:val="40363F4D"/>
    <w:rsid w:val="404228F2"/>
    <w:rsid w:val="404E62A5"/>
    <w:rsid w:val="40526438"/>
    <w:rsid w:val="40683A51"/>
    <w:rsid w:val="406D39C3"/>
    <w:rsid w:val="406D5BC1"/>
    <w:rsid w:val="406F6982"/>
    <w:rsid w:val="407131D7"/>
    <w:rsid w:val="407A02DD"/>
    <w:rsid w:val="40806FD6"/>
    <w:rsid w:val="408F6F36"/>
    <w:rsid w:val="40AB5476"/>
    <w:rsid w:val="40B42395"/>
    <w:rsid w:val="40C43184"/>
    <w:rsid w:val="40C8503E"/>
    <w:rsid w:val="40DA3130"/>
    <w:rsid w:val="40EC3F1A"/>
    <w:rsid w:val="40EC5B32"/>
    <w:rsid w:val="40FB5855"/>
    <w:rsid w:val="40FD011C"/>
    <w:rsid w:val="41036525"/>
    <w:rsid w:val="410F160B"/>
    <w:rsid w:val="41105572"/>
    <w:rsid w:val="412070D7"/>
    <w:rsid w:val="412F717A"/>
    <w:rsid w:val="41384420"/>
    <w:rsid w:val="41393870"/>
    <w:rsid w:val="413B30A4"/>
    <w:rsid w:val="415671F2"/>
    <w:rsid w:val="415A53FE"/>
    <w:rsid w:val="416A63EB"/>
    <w:rsid w:val="417071AF"/>
    <w:rsid w:val="41812516"/>
    <w:rsid w:val="41984EBF"/>
    <w:rsid w:val="419B050B"/>
    <w:rsid w:val="41C34F37"/>
    <w:rsid w:val="41CC2DBB"/>
    <w:rsid w:val="41D37314"/>
    <w:rsid w:val="41D64495"/>
    <w:rsid w:val="41D76705"/>
    <w:rsid w:val="41DD6D76"/>
    <w:rsid w:val="41E2265E"/>
    <w:rsid w:val="41E86D95"/>
    <w:rsid w:val="41F52311"/>
    <w:rsid w:val="42066E1F"/>
    <w:rsid w:val="421264C2"/>
    <w:rsid w:val="42395AFD"/>
    <w:rsid w:val="423F57E3"/>
    <w:rsid w:val="4250579A"/>
    <w:rsid w:val="425A03C6"/>
    <w:rsid w:val="42750789"/>
    <w:rsid w:val="42802174"/>
    <w:rsid w:val="42860835"/>
    <w:rsid w:val="428D124B"/>
    <w:rsid w:val="42AB6E74"/>
    <w:rsid w:val="42CB56FB"/>
    <w:rsid w:val="42EB101F"/>
    <w:rsid w:val="42F11BFD"/>
    <w:rsid w:val="42F500EF"/>
    <w:rsid w:val="42FB3958"/>
    <w:rsid w:val="43013D8A"/>
    <w:rsid w:val="430B1DAB"/>
    <w:rsid w:val="431541DD"/>
    <w:rsid w:val="43333CE8"/>
    <w:rsid w:val="433578C1"/>
    <w:rsid w:val="433C7ACC"/>
    <w:rsid w:val="434C53D8"/>
    <w:rsid w:val="43733865"/>
    <w:rsid w:val="437657F7"/>
    <w:rsid w:val="437C611B"/>
    <w:rsid w:val="43831605"/>
    <w:rsid w:val="43A51B15"/>
    <w:rsid w:val="43AC751B"/>
    <w:rsid w:val="43B136C5"/>
    <w:rsid w:val="43C81360"/>
    <w:rsid w:val="43E43675"/>
    <w:rsid w:val="43EA3673"/>
    <w:rsid w:val="43FF1993"/>
    <w:rsid w:val="44000AFA"/>
    <w:rsid w:val="44002D34"/>
    <w:rsid w:val="4407632C"/>
    <w:rsid w:val="440B5E1C"/>
    <w:rsid w:val="440D52A8"/>
    <w:rsid w:val="44121C51"/>
    <w:rsid w:val="441427F7"/>
    <w:rsid w:val="44171F45"/>
    <w:rsid w:val="442A62FC"/>
    <w:rsid w:val="442D5B10"/>
    <w:rsid w:val="442F1037"/>
    <w:rsid w:val="443A3F53"/>
    <w:rsid w:val="443C3C76"/>
    <w:rsid w:val="44445926"/>
    <w:rsid w:val="44470840"/>
    <w:rsid w:val="444D6F3B"/>
    <w:rsid w:val="44527929"/>
    <w:rsid w:val="445D7216"/>
    <w:rsid w:val="446A2AAE"/>
    <w:rsid w:val="44764516"/>
    <w:rsid w:val="447A4D50"/>
    <w:rsid w:val="44841F92"/>
    <w:rsid w:val="448E7078"/>
    <w:rsid w:val="44926858"/>
    <w:rsid w:val="44A1408B"/>
    <w:rsid w:val="44A27E03"/>
    <w:rsid w:val="44C26EFC"/>
    <w:rsid w:val="44C42913"/>
    <w:rsid w:val="44CD64BA"/>
    <w:rsid w:val="44D53D34"/>
    <w:rsid w:val="44D633B0"/>
    <w:rsid w:val="44DE1833"/>
    <w:rsid w:val="44DF2E05"/>
    <w:rsid w:val="44E24C67"/>
    <w:rsid w:val="44E52D55"/>
    <w:rsid w:val="45096C08"/>
    <w:rsid w:val="45154A79"/>
    <w:rsid w:val="45280308"/>
    <w:rsid w:val="452D1DC2"/>
    <w:rsid w:val="453B44A5"/>
    <w:rsid w:val="453C667B"/>
    <w:rsid w:val="45482758"/>
    <w:rsid w:val="454D4212"/>
    <w:rsid w:val="45603F46"/>
    <w:rsid w:val="45751272"/>
    <w:rsid w:val="457F1EF2"/>
    <w:rsid w:val="45806396"/>
    <w:rsid w:val="458F65D9"/>
    <w:rsid w:val="459C6E90"/>
    <w:rsid w:val="45AC79EA"/>
    <w:rsid w:val="45AF6BD8"/>
    <w:rsid w:val="45B55766"/>
    <w:rsid w:val="45B8588A"/>
    <w:rsid w:val="45C049E4"/>
    <w:rsid w:val="45CD0AD4"/>
    <w:rsid w:val="45D81DE2"/>
    <w:rsid w:val="45DB181E"/>
    <w:rsid w:val="45DB19C0"/>
    <w:rsid w:val="45E45BAD"/>
    <w:rsid w:val="45E561F9"/>
    <w:rsid w:val="45E65E08"/>
    <w:rsid w:val="45EF0E26"/>
    <w:rsid w:val="45F4441B"/>
    <w:rsid w:val="460E39A2"/>
    <w:rsid w:val="46130905"/>
    <w:rsid w:val="46170C26"/>
    <w:rsid w:val="46192347"/>
    <w:rsid w:val="461945AC"/>
    <w:rsid w:val="462D256F"/>
    <w:rsid w:val="46364CA7"/>
    <w:rsid w:val="464A2450"/>
    <w:rsid w:val="465F723F"/>
    <w:rsid w:val="46603AD2"/>
    <w:rsid w:val="467A34E7"/>
    <w:rsid w:val="46946A73"/>
    <w:rsid w:val="469C7200"/>
    <w:rsid w:val="46A00372"/>
    <w:rsid w:val="46AB2F1F"/>
    <w:rsid w:val="46B31A74"/>
    <w:rsid w:val="46D27920"/>
    <w:rsid w:val="46DE0CEF"/>
    <w:rsid w:val="46DE4D79"/>
    <w:rsid w:val="46DE7ED1"/>
    <w:rsid w:val="46E131BE"/>
    <w:rsid w:val="47040901"/>
    <w:rsid w:val="47085279"/>
    <w:rsid w:val="47146CF3"/>
    <w:rsid w:val="471D7FB8"/>
    <w:rsid w:val="4729360D"/>
    <w:rsid w:val="47350ECD"/>
    <w:rsid w:val="474157FF"/>
    <w:rsid w:val="474D5B58"/>
    <w:rsid w:val="47544B78"/>
    <w:rsid w:val="47574C62"/>
    <w:rsid w:val="4767532D"/>
    <w:rsid w:val="4769074D"/>
    <w:rsid w:val="47871D97"/>
    <w:rsid w:val="478A34FC"/>
    <w:rsid w:val="478B512E"/>
    <w:rsid w:val="479854BC"/>
    <w:rsid w:val="47CF72AD"/>
    <w:rsid w:val="47D80BA2"/>
    <w:rsid w:val="47DE47BC"/>
    <w:rsid w:val="47E007C7"/>
    <w:rsid w:val="480D1260"/>
    <w:rsid w:val="480E23EA"/>
    <w:rsid w:val="48114597"/>
    <w:rsid w:val="48183D4F"/>
    <w:rsid w:val="48194880"/>
    <w:rsid w:val="48311172"/>
    <w:rsid w:val="48403220"/>
    <w:rsid w:val="484D4BC4"/>
    <w:rsid w:val="484F5CF8"/>
    <w:rsid w:val="4865056C"/>
    <w:rsid w:val="48735B79"/>
    <w:rsid w:val="487D4E0F"/>
    <w:rsid w:val="487F3587"/>
    <w:rsid w:val="48984C97"/>
    <w:rsid w:val="489A439E"/>
    <w:rsid w:val="48AB197C"/>
    <w:rsid w:val="48B031BB"/>
    <w:rsid w:val="48B31A13"/>
    <w:rsid w:val="48BF0F83"/>
    <w:rsid w:val="48C661A0"/>
    <w:rsid w:val="48CB20B8"/>
    <w:rsid w:val="48D47E47"/>
    <w:rsid w:val="48D72771"/>
    <w:rsid w:val="48E25F7F"/>
    <w:rsid w:val="48E44E8E"/>
    <w:rsid w:val="48EE4A29"/>
    <w:rsid w:val="48F5210B"/>
    <w:rsid w:val="490B11C9"/>
    <w:rsid w:val="490C480D"/>
    <w:rsid w:val="4926119A"/>
    <w:rsid w:val="492E2C7C"/>
    <w:rsid w:val="492F4473"/>
    <w:rsid w:val="495E4076"/>
    <w:rsid w:val="49630A55"/>
    <w:rsid w:val="497A30FC"/>
    <w:rsid w:val="497D5957"/>
    <w:rsid w:val="498875C7"/>
    <w:rsid w:val="49A75578"/>
    <w:rsid w:val="49A8790E"/>
    <w:rsid w:val="49C66341"/>
    <w:rsid w:val="49D560C0"/>
    <w:rsid w:val="49D7699E"/>
    <w:rsid w:val="49D82FAF"/>
    <w:rsid w:val="49EA4BC8"/>
    <w:rsid w:val="49ED4F2D"/>
    <w:rsid w:val="49FF7EF9"/>
    <w:rsid w:val="4A086E2D"/>
    <w:rsid w:val="4A1022B2"/>
    <w:rsid w:val="4A1D136F"/>
    <w:rsid w:val="4A325785"/>
    <w:rsid w:val="4A5E657A"/>
    <w:rsid w:val="4A6C423D"/>
    <w:rsid w:val="4A70361C"/>
    <w:rsid w:val="4A704B0B"/>
    <w:rsid w:val="4A7A4BEA"/>
    <w:rsid w:val="4A991E77"/>
    <w:rsid w:val="4AAF1F1E"/>
    <w:rsid w:val="4AB32D6A"/>
    <w:rsid w:val="4AD827D0"/>
    <w:rsid w:val="4AED0D10"/>
    <w:rsid w:val="4B060ABB"/>
    <w:rsid w:val="4B144DCA"/>
    <w:rsid w:val="4B17589E"/>
    <w:rsid w:val="4B262F7C"/>
    <w:rsid w:val="4B352C24"/>
    <w:rsid w:val="4B353971"/>
    <w:rsid w:val="4B3564B7"/>
    <w:rsid w:val="4B480D7C"/>
    <w:rsid w:val="4B561FC3"/>
    <w:rsid w:val="4B5C1E30"/>
    <w:rsid w:val="4B5F70FB"/>
    <w:rsid w:val="4B67093E"/>
    <w:rsid w:val="4B763F7C"/>
    <w:rsid w:val="4B8B76BC"/>
    <w:rsid w:val="4B8B780F"/>
    <w:rsid w:val="4B8E2E8F"/>
    <w:rsid w:val="4BB05EE9"/>
    <w:rsid w:val="4BB9615E"/>
    <w:rsid w:val="4BB96EE7"/>
    <w:rsid w:val="4BC7058A"/>
    <w:rsid w:val="4BCD7B64"/>
    <w:rsid w:val="4BD0035D"/>
    <w:rsid w:val="4BD9235C"/>
    <w:rsid w:val="4BDC5F5A"/>
    <w:rsid w:val="4BEA4569"/>
    <w:rsid w:val="4BEC0390"/>
    <w:rsid w:val="4BF278C2"/>
    <w:rsid w:val="4C1A34BB"/>
    <w:rsid w:val="4C231829"/>
    <w:rsid w:val="4C3351E5"/>
    <w:rsid w:val="4C60274C"/>
    <w:rsid w:val="4C673A98"/>
    <w:rsid w:val="4C7A59F3"/>
    <w:rsid w:val="4C7C7F92"/>
    <w:rsid w:val="4C820C46"/>
    <w:rsid w:val="4C8853A9"/>
    <w:rsid w:val="4C9A5F2E"/>
    <w:rsid w:val="4C9C6C8B"/>
    <w:rsid w:val="4C9E03FE"/>
    <w:rsid w:val="4CAF7079"/>
    <w:rsid w:val="4CB6294A"/>
    <w:rsid w:val="4CC2732C"/>
    <w:rsid w:val="4CCD078A"/>
    <w:rsid w:val="4CEE62DB"/>
    <w:rsid w:val="4D2770F7"/>
    <w:rsid w:val="4D30504F"/>
    <w:rsid w:val="4D3613A8"/>
    <w:rsid w:val="4D39639D"/>
    <w:rsid w:val="4D3A507C"/>
    <w:rsid w:val="4D424EC4"/>
    <w:rsid w:val="4D510618"/>
    <w:rsid w:val="4D551EB6"/>
    <w:rsid w:val="4D57646E"/>
    <w:rsid w:val="4D65092C"/>
    <w:rsid w:val="4D673998"/>
    <w:rsid w:val="4D754306"/>
    <w:rsid w:val="4D7D4514"/>
    <w:rsid w:val="4D825A70"/>
    <w:rsid w:val="4D8C4B13"/>
    <w:rsid w:val="4D992E31"/>
    <w:rsid w:val="4D9D560B"/>
    <w:rsid w:val="4DA71DB9"/>
    <w:rsid w:val="4DBE4A08"/>
    <w:rsid w:val="4DC51B07"/>
    <w:rsid w:val="4DCE5382"/>
    <w:rsid w:val="4DD04258"/>
    <w:rsid w:val="4DD7305B"/>
    <w:rsid w:val="4DDF350D"/>
    <w:rsid w:val="4DE54BBF"/>
    <w:rsid w:val="4DE959AE"/>
    <w:rsid w:val="4DF07E31"/>
    <w:rsid w:val="4E065CB6"/>
    <w:rsid w:val="4E0F143D"/>
    <w:rsid w:val="4E130448"/>
    <w:rsid w:val="4E21623C"/>
    <w:rsid w:val="4E3E3CD2"/>
    <w:rsid w:val="4E48180D"/>
    <w:rsid w:val="4E4B3EEE"/>
    <w:rsid w:val="4E517291"/>
    <w:rsid w:val="4E5D64B4"/>
    <w:rsid w:val="4E646CEB"/>
    <w:rsid w:val="4E7279FB"/>
    <w:rsid w:val="4E792A0E"/>
    <w:rsid w:val="4E8A5B90"/>
    <w:rsid w:val="4E9220BE"/>
    <w:rsid w:val="4EA33BAD"/>
    <w:rsid w:val="4EA6768A"/>
    <w:rsid w:val="4EB42C0C"/>
    <w:rsid w:val="4EB91AB7"/>
    <w:rsid w:val="4EB946C7"/>
    <w:rsid w:val="4EBC5236"/>
    <w:rsid w:val="4ECF7B90"/>
    <w:rsid w:val="4ED41249"/>
    <w:rsid w:val="4EE334F2"/>
    <w:rsid w:val="4EED32ED"/>
    <w:rsid w:val="4EF0595D"/>
    <w:rsid w:val="4EF35D8A"/>
    <w:rsid w:val="4EF61477"/>
    <w:rsid w:val="4F0E67C1"/>
    <w:rsid w:val="4F2204BE"/>
    <w:rsid w:val="4F2C520F"/>
    <w:rsid w:val="4F2D389C"/>
    <w:rsid w:val="4F387B83"/>
    <w:rsid w:val="4F440434"/>
    <w:rsid w:val="4F454DB4"/>
    <w:rsid w:val="4F5A7C58"/>
    <w:rsid w:val="4F7D1D9E"/>
    <w:rsid w:val="4F9438A2"/>
    <w:rsid w:val="4F984D9D"/>
    <w:rsid w:val="4F9A5E18"/>
    <w:rsid w:val="4FA672CB"/>
    <w:rsid w:val="4FAA2EC2"/>
    <w:rsid w:val="4FB03267"/>
    <w:rsid w:val="4FBB3B04"/>
    <w:rsid w:val="4FC2024F"/>
    <w:rsid w:val="4FDC68BF"/>
    <w:rsid w:val="4FF21C3E"/>
    <w:rsid w:val="4FF82FCD"/>
    <w:rsid w:val="4FFA6D45"/>
    <w:rsid w:val="500608F5"/>
    <w:rsid w:val="500876B4"/>
    <w:rsid w:val="50113C4E"/>
    <w:rsid w:val="50245098"/>
    <w:rsid w:val="502E69EF"/>
    <w:rsid w:val="50447FC0"/>
    <w:rsid w:val="5057296A"/>
    <w:rsid w:val="50727454"/>
    <w:rsid w:val="50842312"/>
    <w:rsid w:val="5091327C"/>
    <w:rsid w:val="509C7395"/>
    <w:rsid w:val="50A218B6"/>
    <w:rsid w:val="50A267FE"/>
    <w:rsid w:val="50AB7581"/>
    <w:rsid w:val="50C51CA5"/>
    <w:rsid w:val="50D4115C"/>
    <w:rsid w:val="50D8625D"/>
    <w:rsid w:val="50DF4FF7"/>
    <w:rsid w:val="50E81293"/>
    <w:rsid w:val="50F90C4E"/>
    <w:rsid w:val="50FE0AB7"/>
    <w:rsid w:val="510A745C"/>
    <w:rsid w:val="510C6D30"/>
    <w:rsid w:val="510F29BA"/>
    <w:rsid w:val="510F3CA1"/>
    <w:rsid w:val="51171B33"/>
    <w:rsid w:val="511E63A2"/>
    <w:rsid w:val="512336DC"/>
    <w:rsid w:val="512F0C70"/>
    <w:rsid w:val="51493AE0"/>
    <w:rsid w:val="514B5B26"/>
    <w:rsid w:val="515801C7"/>
    <w:rsid w:val="515F2150"/>
    <w:rsid w:val="51767101"/>
    <w:rsid w:val="517A6A24"/>
    <w:rsid w:val="517D19DC"/>
    <w:rsid w:val="5180012B"/>
    <w:rsid w:val="51874A95"/>
    <w:rsid w:val="518A40F8"/>
    <w:rsid w:val="518A5EA7"/>
    <w:rsid w:val="518B234A"/>
    <w:rsid w:val="51AA7FF2"/>
    <w:rsid w:val="51CB4F3A"/>
    <w:rsid w:val="51D21B93"/>
    <w:rsid w:val="51D87804"/>
    <w:rsid w:val="51DA3B8C"/>
    <w:rsid w:val="52012EB5"/>
    <w:rsid w:val="52036CC7"/>
    <w:rsid w:val="520E6AD8"/>
    <w:rsid w:val="52151C14"/>
    <w:rsid w:val="5222392E"/>
    <w:rsid w:val="52262073"/>
    <w:rsid w:val="523A5B1F"/>
    <w:rsid w:val="524C35D6"/>
    <w:rsid w:val="525F651B"/>
    <w:rsid w:val="52634BCC"/>
    <w:rsid w:val="526D7199"/>
    <w:rsid w:val="526F22BB"/>
    <w:rsid w:val="52775F67"/>
    <w:rsid w:val="52851792"/>
    <w:rsid w:val="528943B0"/>
    <w:rsid w:val="52946FDD"/>
    <w:rsid w:val="52DF3B64"/>
    <w:rsid w:val="52E964FA"/>
    <w:rsid w:val="52E96FE9"/>
    <w:rsid w:val="52EF7913"/>
    <w:rsid w:val="52F24E8F"/>
    <w:rsid w:val="52F45CCD"/>
    <w:rsid w:val="53024770"/>
    <w:rsid w:val="531617D1"/>
    <w:rsid w:val="53204D14"/>
    <w:rsid w:val="533D1775"/>
    <w:rsid w:val="533D58C6"/>
    <w:rsid w:val="535C0BED"/>
    <w:rsid w:val="537810E8"/>
    <w:rsid w:val="537E41A0"/>
    <w:rsid w:val="53911FD3"/>
    <w:rsid w:val="53B7454B"/>
    <w:rsid w:val="53BB4A3D"/>
    <w:rsid w:val="53BF27D4"/>
    <w:rsid w:val="53C01210"/>
    <w:rsid w:val="53C75190"/>
    <w:rsid w:val="53D0531B"/>
    <w:rsid w:val="53D14543"/>
    <w:rsid w:val="53DB6E8D"/>
    <w:rsid w:val="53E11450"/>
    <w:rsid w:val="53EE6BC1"/>
    <w:rsid w:val="53F43F3C"/>
    <w:rsid w:val="54077F64"/>
    <w:rsid w:val="5410165C"/>
    <w:rsid w:val="54130315"/>
    <w:rsid w:val="54240F4F"/>
    <w:rsid w:val="54260108"/>
    <w:rsid w:val="542645AC"/>
    <w:rsid w:val="542D76E9"/>
    <w:rsid w:val="5449465D"/>
    <w:rsid w:val="544B176B"/>
    <w:rsid w:val="544B5DC1"/>
    <w:rsid w:val="545742B4"/>
    <w:rsid w:val="545A4256"/>
    <w:rsid w:val="546B6790"/>
    <w:rsid w:val="546F53C5"/>
    <w:rsid w:val="547365D3"/>
    <w:rsid w:val="548347E4"/>
    <w:rsid w:val="548968E9"/>
    <w:rsid w:val="54995208"/>
    <w:rsid w:val="549E4143"/>
    <w:rsid w:val="54C47921"/>
    <w:rsid w:val="54CC23EE"/>
    <w:rsid w:val="54CC5D51"/>
    <w:rsid w:val="54DD5E38"/>
    <w:rsid w:val="55040452"/>
    <w:rsid w:val="550F1D82"/>
    <w:rsid w:val="551B5793"/>
    <w:rsid w:val="55256612"/>
    <w:rsid w:val="55312A99"/>
    <w:rsid w:val="553C49CA"/>
    <w:rsid w:val="553F0FF7"/>
    <w:rsid w:val="554051FA"/>
    <w:rsid w:val="554D6752"/>
    <w:rsid w:val="555A5F3E"/>
    <w:rsid w:val="55717AA9"/>
    <w:rsid w:val="558A0B6B"/>
    <w:rsid w:val="55952B44"/>
    <w:rsid w:val="55974945"/>
    <w:rsid w:val="55A674A9"/>
    <w:rsid w:val="55B160F8"/>
    <w:rsid w:val="55BA4D95"/>
    <w:rsid w:val="55CE6CAA"/>
    <w:rsid w:val="55EA10CA"/>
    <w:rsid w:val="55EC088C"/>
    <w:rsid w:val="55F94CAD"/>
    <w:rsid w:val="5601415E"/>
    <w:rsid w:val="56062295"/>
    <w:rsid w:val="56073316"/>
    <w:rsid w:val="56252E0A"/>
    <w:rsid w:val="56256E96"/>
    <w:rsid w:val="56353ACA"/>
    <w:rsid w:val="563D3E2F"/>
    <w:rsid w:val="56466840"/>
    <w:rsid w:val="565A22EB"/>
    <w:rsid w:val="566226DD"/>
    <w:rsid w:val="56813763"/>
    <w:rsid w:val="56847368"/>
    <w:rsid w:val="56867584"/>
    <w:rsid w:val="568B3D3E"/>
    <w:rsid w:val="569021B1"/>
    <w:rsid w:val="569F23F4"/>
    <w:rsid w:val="56B45E9F"/>
    <w:rsid w:val="56B84752"/>
    <w:rsid w:val="56B91708"/>
    <w:rsid w:val="56C07766"/>
    <w:rsid w:val="56C836F9"/>
    <w:rsid w:val="56CF2116"/>
    <w:rsid w:val="56D6425A"/>
    <w:rsid w:val="56E827C0"/>
    <w:rsid w:val="56FD132F"/>
    <w:rsid w:val="57064221"/>
    <w:rsid w:val="570B1838"/>
    <w:rsid w:val="57144B90"/>
    <w:rsid w:val="57146C2E"/>
    <w:rsid w:val="572F25CD"/>
    <w:rsid w:val="57354E4E"/>
    <w:rsid w:val="57393705"/>
    <w:rsid w:val="57430FD1"/>
    <w:rsid w:val="57452F9B"/>
    <w:rsid w:val="575C550F"/>
    <w:rsid w:val="57714012"/>
    <w:rsid w:val="57744C6A"/>
    <w:rsid w:val="5775287D"/>
    <w:rsid w:val="578B3481"/>
    <w:rsid w:val="57992DA8"/>
    <w:rsid w:val="57A44D61"/>
    <w:rsid w:val="57AB6871"/>
    <w:rsid w:val="57B955C1"/>
    <w:rsid w:val="57C7585F"/>
    <w:rsid w:val="57C93976"/>
    <w:rsid w:val="57CF0F2F"/>
    <w:rsid w:val="57E15B41"/>
    <w:rsid w:val="57EB62AA"/>
    <w:rsid w:val="581F0881"/>
    <w:rsid w:val="581F25C1"/>
    <w:rsid w:val="582738C9"/>
    <w:rsid w:val="5829466B"/>
    <w:rsid w:val="582A3F3F"/>
    <w:rsid w:val="582F6B6A"/>
    <w:rsid w:val="58385DFF"/>
    <w:rsid w:val="583E4D83"/>
    <w:rsid w:val="58450A20"/>
    <w:rsid w:val="584E26C1"/>
    <w:rsid w:val="584E365D"/>
    <w:rsid w:val="58515970"/>
    <w:rsid w:val="585A296B"/>
    <w:rsid w:val="585F1E3B"/>
    <w:rsid w:val="58816B89"/>
    <w:rsid w:val="588C78E6"/>
    <w:rsid w:val="5898534D"/>
    <w:rsid w:val="58A67A6A"/>
    <w:rsid w:val="58A96F9A"/>
    <w:rsid w:val="58B2640F"/>
    <w:rsid w:val="58BF0BBB"/>
    <w:rsid w:val="58C72BED"/>
    <w:rsid w:val="58CF4866"/>
    <w:rsid w:val="58FA6008"/>
    <w:rsid w:val="590C4208"/>
    <w:rsid w:val="590F5946"/>
    <w:rsid w:val="5915450F"/>
    <w:rsid w:val="592D3CE7"/>
    <w:rsid w:val="59406843"/>
    <w:rsid w:val="594352B9"/>
    <w:rsid w:val="59463ACC"/>
    <w:rsid w:val="594A6647"/>
    <w:rsid w:val="596040BD"/>
    <w:rsid w:val="59725B9E"/>
    <w:rsid w:val="5976638B"/>
    <w:rsid w:val="597B2D6C"/>
    <w:rsid w:val="597F377D"/>
    <w:rsid w:val="598E33BD"/>
    <w:rsid w:val="59955CFC"/>
    <w:rsid w:val="59A95D02"/>
    <w:rsid w:val="59AA17DC"/>
    <w:rsid w:val="59BA0405"/>
    <w:rsid w:val="59C07DE9"/>
    <w:rsid w:val="59C12681"/>
    <w:rsid w:val="59CC6C22"/>
    <w:rsid w:val="59DD74BB"/>
    <w:rsid w:val="59DE3233"/>
    <w:rsid w:val="59FB5B93"/>
    <w:rsid w:val="5A0B0F5A"/>
    <w:rsid w:val="5A1231CF"/>
    <w:rsid w:val="5A1C127F"/>
    <w:rsid w:val="5A350587"/>
    <w:rsid w:val="5A3B2434"/>
    <w:rsid w:val="5A476EF3"/>
    <w:rsid w:val="5A4B606B"/>
    <w:rsid w:val="5A571333"/>
    <w:rsid w:val="5A67249B"/>
    <w:rsid w:val="5A7C1BE0"/>
    <w:rsid w:val="5A84202D"/>
    <w:rsid w:val="5A8F6E06"/>
    <w:rsid w:val="5A9C303E"/>
    <w:rsid w:val="5AAB45FC"/>
    <w:rsid w:val="5AAF422B"/>
    <w:rsid w:val="5AB83A84"/>
    <w:rsid w:val="5AB924EC"/>
    <w:rsid w:val="5AC0206F"/>
    <w:rsid w:val="5AD373B0"/>
    <w:rsid w:val="5AE12FDB"/>
    <w:rsid w:val="5AED5416"/>
    <w:rsid w:val="5AF16F42"/>
    <w:rsid w:val="5AFC7E15"/>
    <w:rsid w:val="5B0B68ED"/>
    <w:rsid w:val="5B1741E7"/>
    <w:rsid w:val="5B1A2462"/>
    <w:rsid w:val="5B242EC8"/>
    <w:rsid w:val="5B2C3611"/>
    <w:rsid w:val="5B5E462C"/>
    <w:rsid w:val="5B657861"/>
    <w:rsid w:val="5B687A4C"/>
    <w:rsid w:val="5B6F4A8B"/>
    <w:rsid w:val="5B757E56"/>
    <w:rsid w:val="5B76182C"/>
    <w:rsid w:val="5B7B5AF5"/>
    <w:rsid w:val="5B7C5158"/>
    <w:rsid w:val="5BB93F58"/>
    <w:rsid w:val="5BE34B31"/>
    <w:rsid w:val="5BE92E97"/>
    <w:rsid w:val="5BF62AB6"/>
    <w:rsid w:val="5BF935B1"/>
    <w:rsid w:val="5C016FA1"/>
    <w:rsid w:val="5C024CE7"/>
    <w:rsid w:val="5C025CC8"/>
    <w:rsid w:val="5C0D30BE"/>
    <w:rsid w:val="5C18535A"/>
    <w:rsid w:val="5C245FF8"/>
    <w:rsid w:val="5C35496B"/>
    <w:rsid w:val="5C3E1CE6"/>
    <w:rsid w:val="5C4977E4"/>
    <w:rsid w:val="5C593045"/>
    <w:rsid w:val="5C732359"/>
    <w:rsid w:val="5C797243"/>
    <w:rsid w:val="5C7A4098"/>
    <w:rsid w:val="5C802540"/>
    <w:rsid w:val="5C853C6B"/>
    <w:rsid w:val="5C8E2CEF"/>
    <w:rsid w:val="5C910A31"/>
    <w:rsid w:val="5C9E3990"/>
    <w:rsid w:val="5CA404D2"/>
    <w:rsid w:val="5CA42512"/>
    <w:rsid w:val="5CA47A1D"/>
    <w:rsid w:val="5CC22998"/>
    <w:rsid w:val="5CC44FDE"/>
    <w:rsid w:val="5CCA4973"/>
    <w:rsid w:val="5CCD61CB"/>
    <w:rsid w:val="5CDD3C76"/>
    <w:rsid w:val="5CDE1C6D"/>
    <w:rsid w:val="5CFD7BE4"/>
    <w:rsid w:val="5D107BA8"/>
    <w:rsid w:val="5D121144"/>
    <w:rsid w:val="5D197442"/>
    <w:rsid w:val="5D31157A"/>
    <w:rsid w:val="5D3A4C25"/>
    <w:rsid w:val="5D6610B7"/>
    <w:rsid w:val="5D6A375C"/>
    <w:rsid w:val="5D6B3030"/>
    <w:rsid w:val="5D72077F"/>
    <w:rsid w:val="5D7D2976"/>
    <w:rsid w:val="5D8052CB"/>
    <w:rsid w:val="5D875D49"/>
    <w:rsid w:val="5D8E4EEB"/>
    <w:rsid w:val="5D8E61E0"/>
    <w:rsid w:val="5D90231F"/>
    <w:rsid w:val="5D9E3405"/>
    <w:rsid w:val="5DA57F34"/>
    <w:rsid w:val="5DAB5B22"/>
    <w:rsid w:val="5DB72F61"/>
    <w:rsid w:val="5DB80B20"/>
    <w:rsid w:val="5DBC51BA"/>
    <w:rsid w:val="5DBF7101"/>
    <w:rsid w:val="5DC319FC"/>
    <w:rsid w:val="5DCF673B"/>
    <w:rsid w:val="5E0A0A9B"/>
    <w:rsid w:val="5E1544D2"/>
    <w:rsid w:val="5E180F9D"/>
    <w:rsid w:val="5E40270F"/>
    <w:rsid w:val="5E491E05"/>
    <w:rsid w:val="5E575EE0"/>
    <w:rsid w:val="5E5E72D2"/>
    <w:rsid w:val="5E65484B"/>
    <w:rsid w:val="5E667B37"/>
    <w:rsid w:val="5E6737F7"/>
    <w:rsid w:val="5E790C7D"/>
    <w:rsid w:val="5E820631"/>
    <w:rsid w:val="5E8F5927"/>
    <w:rsid w:val="5E9879FB"/>
    <w:rsid w:val="5E9A01A9"/>
    <w:rsid w:val="5EA849EC"/>
    <w:rsid w:val="5EAC0136"/>
    <w:rsid w:val="5EBF3BC9"/>
    <w:rsid w:val="5ECF1B12"/>
    <w:rsid w:val="5ED6273B"/>
    <w:rsid w:val="5EE04FB0"/>
    <w:rsid w:val="5EEF42C5"/>
    <w:rsid w:val="5EF05EE3"/>
    <w:rsid w:val="5EFD2ABF"/>
    <w:rsid w:val="5F077BC9"/>
    <w:rsid w:val="5F1B0630"/>
    <w:rsid w:val="5F226491"/>
    <w:rsid w:val="5F24793A"/>
    <w:rsid w:val="5F404592"/>
    <w:rsid w:val="5F463D55"/>
    <w:rsid w:val="5F54776A"/>
    <w:rsid w:val="5F573537"/>
    <w:rsid w:val="5F5A335C"/>
    <w:rsid w:val="5F6146EB"/>
    <w:rsid w:val="5F683CCB"/>
    <w:rsid w:val="5F6B2DBA"/>
    <w:rsid w:val="5F8607BF"/>
    <w:rsid w:val="5F882555"/>
    <w:rsid w:val="5F8E0A5E"/>
    <w:rsid w:val="5FB45A42"/>
    <w:rsid w:val="5FB567E4"/>
    <w:rsid w:val="5FC63969"/>
    <w:rsid w:val="5FD17AC2"/>
    <w:rsid w:val="5FE44ACC"/>
    <w:rsid w:val="5FE76281"/>
    <w:rsid w:val="5FEF619A"/>
    <w:rsid w:val="5FF80D16"/>
    <w:rsid w:val="5FFC156D"/>
    <w:rsid w:val="60065292"/>
    <w:rsid w:val="60120211"/>
    <w:rsid w:val="601243E7"/>
    <w:rsid w:val="601C1AEB"/>
    <w:rsid w:val="60356509"/>
    <w:rsid w:val="603B13E0"/>
    <w:rsid w:val="603C75C9"/>
    <w:rsid w:val="603D50C6"/>
    <w:rsid w:val="60430294"/>
    <w:rsid w:val="604B2431"/>
    <w:rsid w:val="60574D83"/>
    <w:rsid w:val="60580398"/>
    <w:rsid w:val="60600615"/>
    <w:rsid w:val="606F1089"/>
    <w:rsid w:val="607B7A2E"/>
    <w:rsid w:val="6089214B"/>
    <w:rsid w:val="608E2926"/>
    <w:rsid w:val="609076F3"/>
    <w:rsid w:val="60943F53"/>
    <w:rsid w:val="60980A56"/>
    <w:rsid w:val="60A27AC6"/>
    <w:rsid w:val="60A81652"/>
    <w:rsid w:val="60AB5555"/>
    <w:rsid w:val="60AE7E03"/>
    <w:rsid w:val="60B30F76"/>
    <w:rsid w:val="60B52B80"/>
    <w:rsid w:val="60C969EB"/>
    <w:rsid w:val="60EB4FE3"/>
    <w:rsid w:val="61032132"/>
    <w:rsid w:val="61177932"/>
    <w:rsid w:val="611C2857"/>
    <w:rsid w:val="612973E3"/>
    <w:rsid w:val="614E0C9F"/>
    <w:rsid w:val="61505F6B"/>
    <w:rsid w:val="615502BF"/>
    <w:rsid w:val="61555FDC"/>
    <w:rsid w:val="61630BEE"/>
    <w:rsid w:val="6170330B"/>
    <w:rsid w:val="618609A8"/>
    <w:rsid w:val="618A1AAA"/>
    <w:rsid w:val="618F7466"/>
    <w:rsid w:val="61932B55"/>
    <w:rsid w:val="61972712"/>
    <w:rsid w:val="619E55C7"/>
    <w:rsid w:val="61B01959"/>
    <w:rsid w:val="61B07C17"/>
    <w:rsid w:val="61BA08CF"/>
    <w:rsid w:val="61BB4F75"/>
    <w:rsid w:val="61D6619D"/>
    <w:rsid w:val="61D67A41"/>
    <w:rsid w:val="61D95558"/>
    <w:rsid w:val="61E34380"/>
    <w:rsid w:val="61EF2482"/>
    <w:rsid w:val="61F07FA8"/>
    <w:rsid w:val="61F256FC"/>
    <w:rsid w:val="61F97BB3"/>
    <w:rsid w:val="62265778"/>
    <w:rsid w:val="62277AE3"/>
    <w:rsid w:val="6236437C"/>
    <w:rsid w:val="623C268B"/>
    <w:rsid w:val="623E7711"/>
    <w:rsid w:val="624B728B"/>
    <w:rsid w:val="626764BC"/>
    <w:rsid w:val="626B0816"/>
    <w:rsid w:val="626C1040"/>
    <w:rsid w:val="62744735"/>
    <w:rsid w:val="62763A81"/>
    <w:rsid w:val="627D66DB"/>
    <w:rsid w:val="62853C31"/>
    <w:rsid w:val="628F0563"/>
    <w:rsid w:val="62A10326"/>
    <w:rsid w:val="62A5272A"/>
    <w:rsid w:val="62CE02E9"/>
    <w:rsid w:val="62CF1E79"/>
    <w:rsid w:val="62CF4061"/>
    <w:rsid w:val="62DA38B6"/>
    <w:rsid w:val="62DD677E"/>
    <w:rsid w:val="62E20967"/>
    <w:rsid w:val="62EF64B1"/>
    <w:rsid w:val="62F111DB"/>
    <w:rsid w:val="62F9289D"/>
    <w:rsid w:val="62FE409E"/>
    <w:rsid w:val="630F2045"/>
    <w:rsid w:val="63155F18"/>
    <w:rsid w:val="63181A9A"/>
    <w:rsid w:val="631865E0"/>
    <w:rsid w:val="631A352E"/>
    <w:rsid w:val="632F68AE"/>
    <w:rsid w:val="63541A45"/>
    <w:rsid w:val="635D77C8"/>
    <w:rsid w:val="63681CE4"/>
    <w:rsid w:val="636A6BD5"/>
    <w:rsid w:val="6374427C"/>
    <w:rsid w:val="637D503B"/>
    <w:rsid w:val="63807521"/>
    <w:rsid w:val="63827325"/>
    <w:rsid w:val="63896933"/>
    <w:rsid w:val="638E34F8"/>
    <w:rsid w:val="638F71D4"/>
    <w:rsid w:val="63A16619"/>
    <w:rsid w:val="63A54F9A"/>
    <w:rsid w:val="63CC72D2"/>
    <w:rsid w:val="63D1522A"/>
    <w:rsid w:val="63D731CD"/>
    <w:rsid w:val="63DF2082"/>
    <w:rsid w:val="63E44E96"/>
    <w:rsid w:val="63E53698"/>
    <w:rsid w:val="63ED29F1"/>
    <w:rsid w:val="63FB7A19"/>
    <w:rsid w:val="64022079"/>
    <w:rsid w:val="64081C13"/>
    <w:rsid w:val="64085A7D"/>
    <w:rsid w:val="640874E4"/>
    <w:rsid w:val="640A35A3"/>
    <w:rsid w:val="64181EB6"/>
    <w:rsid w:val="642262A3"/>
    <w:rsid w:val="642345CA"/>
    <w:rsid w:val="642E0042"/>
    <w:rsid w:val="643B6391"/>
    <w:rsid w:val="644D1F8D"/>
    <w:rsid w:val="6460189D"/>
    <w:rsid w:val="64682077"/>
    <w:rsid w:val="647670BC"/>
    <w:rsid w:val="64814A8D"/>
    <w:rsid w:val="648F3844"/>
    <w:rsid w:val="64AD1726"/>
    <w:rsid w:val="64B715AC"/>
    <w:rsid w:val="64DA0E25"/>
    <w:rsid w:val="64F642EB"/>
    <w:rsid w:val="64FF0C2E"/>
    <w:rsid w:val="650224CC"/>
    <w:rsid w:val="65030606"/>
    <w:rsid w:val="65046244"/>
    <w:rsid w:val="65054FB1"/>
    <w:rsid w:val="650C3BBA"/>
    <w:rsid w:val="65151809"/>
    <w:rsid w:val="65165F77"/>
    <w:rsid w:val="65187C0D"/>
    <w:rsid w:val="65225578"/>
    <w:rsid w:val="65384E4E"/>
    <w:rsid w:val="653C35A1"/>
    <w:rsid w:val="65407AC1"/>
    <w:rsid w:val="654A79CF"/>
    <w:rsid w:val="65506950"/>
    <w:rsid w:val="655C6080"/>
    <w:rsid w:val="656E2D6F"/>
    <w:rsid w:val="656F4A0C"/>
    <w:rsid w:val="657A428C"/>
    <w:rsid w:val="65876E6F"/>
    <w:rsid w:val="65921AA2"/>
    <w:rsid w:val="65934C5E"/>
    <w:rsid w:val="65B66C75"/>
    <w:rsid w:val="65C041C7"/>
    <w:rsid w:val="65D05C37"/>
    <w:rsid w:val="65E46075"/>
    <w:rsid w:val="65F91B21"/>
    <w:rsid w:val="660C04CD"/>
    <w:rsid w:val="660E22AA"/>
    <w:rsid w:val="66171E70"/>
    <w:rsid w:val="66287D10"/>
    <w:rsid w:val="662E109F"/>
    <w:rsid w:val="664F3345"/>
    <w:rsid w:val="6661443E"/>
    <w:rsid w:val="666351EC"/>
    <w:rsid w:val="666B6D4A"/>
    <w:rsid w:val="667A5A35"/>
    <w:rsid w:val="667E12FF"/>
    <w:rsid w:val="6689294D"/>
    <w:rsid w:val="66925916"/>
    <w:rsid w:val="66A443E2"/>
    <w:rsid w:val="66B45A48"/>
    <w:rsid w:val="66BA2932"/>
    <w:rsid w:val="66BC1DF9"/>
    <w:rsid w:val="66DF0D71"/>
    <w:rsid w:val="66E27998"/>
    <w:rsid w:val="66E947FF"/>
    <w:rsid w:val="66F81EE4"/>
    <w:rsid w:val="670C0772"/>
    <w:rsid w:val="673739A5"/>
    <w:rsid w:val="67450732"/>
    <w:rsid w:val="67617ED3"/>
    <w:rsid w:val="67713939"/>
    <w:rsid w:val="67786A75"/>
    <w:rsid w:val="677B2009"/>
    <w:rsid w:val="677B47B7"/>
    <w:rsid w:val="67931B01"/>
    <w:rsid w:val="67950C48"/>
    <w:rsid w:val="67954732"/>
    <w:rsid w:val="679D71A3"/>
    <w:rsid w:val="67A44F47"/>
    <w:rsid w:val="67A47EB7"/>
    <w:rsid w:val="67AA652A"/>
    <w:rsid w:val="67B57188"/>
    <w:rsid w:val="67B81568"/>
    <w:rsid w:val="67B9301A"/>
    <w:rsid w:val="67D36337"/>
    <w:rsid w:val="67E4410B"/>
    <w:rsid w:val="68164CB6"/>
    <w:rsid w:val="682B7D27"/>
    <w:rsid w:val="68341E95"/>
    <w:rsid w:val="683F0A82"/>
    <w:rsid w:val="68441D23"/>
    <w:rsid w:val="6854054F"/>
    <w:rsid w:val="686B3218"/>
    <w:rsid w:val="686E31B3"/>
    <w:rsid w:val="686F09A9"/>
    <w:rsid w:val="686F6BAD"/>
    <w:rsid w:val="6870766D"/>
    <w:rsid w:val="687912E0"/>
    <w:rsid w:val="687C6DC1"/>
    <w:rsid w:val="688107F7"/>
    <w:rsid w:val="6891032A"/>
    <w:rsid w:val="68B62288"/>
    <w:rsid w:val="68BF0FCA"/>
    <w:rsid w:val="68BF368A"/>
    <w:rsid w:val="68CB0526"/>
    <w:rsid w:val="68D93544"/>
    <w:rsid w:val="68E72104"/>
    <w:rsid w:val="68EA7BCD"/>
    <w:rsid w:val="68F465CF"/>
    <w:rsid w:val="68F80D9F"/>
    <w:rsid w:val="68F91E38"/>
    <w:rsid w:val="68FC2759"/>
    <w:rsid w:val="68FD4EB7"/>
    <w:rsid w:val="691866AB"/>
    <w:rsid w:val="691B1B30"/>
    <w:rsid w:val="69447CB4"/>
    <w:rsid w:val="695A260F"/>
    <w:rsid w:val="695B1B20"/>
    <w:rsid w:val="695B6276"/>
    <w:rsid w:val="69844B67"/>
    <w:rsid w:val="699833FF"/>
    <w:rsid w:val="699D70DF"/>
    <w:rsid w:val="69A05DD2"/>
    <w:rsid w:val="69AF0748"/>
    <w:rsid w:val="69AF134A"/>
    <w:rsid w:val="69B55B38"/>
    <w:rsid w:val="69B67D29"/>
    <w:rsid w:val="69D50421"/>
    <w:rsid w:val="69F12B0F"/>
    <w:rsid w:val="69F66377"/>
    <w:rsid w:val="6A035EF4"/>
    <w:rsid w:val="6A1B23DD"/>
    <w:rsid w:val="6A234CFD"/>
    <w:rsid w:val="6A290A31"/>
    <w:rsid w:val="6A2A3573"/>
    <w:rsid w:val="6A2F3CD0"/>
    <w:rsid w:val="6A311785"/>
    <w:rsid w:val="6A624757"/>
    <w:rsid w:val="6A98052C"/>
    <w:rsid w:val="6A9C218C"/>
    <w:rsid w:val="6A9F07BD"/>
    <w:rsid w:val="6AA608A5"/>
    <w:rsid w:val="6AD95A7D"/>
    <w:rsid w:val="6ADD0FD4"/>
    <w:rsid w:val="6AE17228"/>
    <w:rsid w:val="6AF2584B"/>
    <w:rsid w:val="6AFF6406"/>
    <w:rsid w:val="6B052DB8"/>
    <w:rsid w:val="6B1116BB"/>
    <w:rsid w:val="6B221B9C"/>
    <w:rsid w:val="6B2A277C"/>
    <w:rsid w:val="6B2B6BCC"/>
    <w:rsid w:val="6B3158B9"/>
    <w:rsid w:val="6B454EC0"/>
    <w:rsid w:val="6B472E6F"/>
    <w:rsid w:val="6B4A697B"/>
    <w:rsid w:val="6B4E6A42"/>
    <w:rsid w:val="6B560C49"/>
    <w:rsid w:val="6B5C045C"/>
    <w:rsid w:val="6B6537B4"/>
    <w:rsid w:val="6B773FC3"/>
    <w:rsid w:val="6B79306C"/>
    <w:rsid w:val="6B7B7D93"/>
    <w:rsid w:val="6B8B2A89"/>
    <w:rsid w:val="6B8F25E0"/>
    <w:rsid w:val="6B921C6C"/>
    <w:rsid w:val="6B96571C"/>
    <w:rsid w:val="6B9A3044"/>
    <w:rsid w:val="6BAF16A1"/>
    <w:rsid w:val="6BC40333"/>
    <w:rsid w:val="6BC54253"/>
    <w:rsid w:val="6BE566A3"/>
    <w:rsid w:val="6BF738F7"/>
    <w:rsid w:val="6BFE7D8B"/>
    <w:rsid w:val="6C0634B8"/>
    <w:rsid w:val="6C0E79A8"/>
    <w:rsid w:val="6C101852"/>
    <w:rsid w:val="6C20166A"/>
    <w:rsid w:val="6C270A6A"/>
    <w:rsid w:val="6C292B66"/>
    <w:rsid w:val="6C412313"/>
    <w:rsid w:val="6C4E249B"/>
    <w:rsid w:val="6C501D6F"/>
    <w:rsid w:val="6C53360D"/>
    <w:rsid w:val="6C5A499B"/>
    <w:rsid w:val="6C646816"/>
    <w:rsid w:val="6C744549"/>
    <w:rsid w:val="6C8F3960"/>
    <w:rsid w:val="6CA25582"/>
    <w:rsid w:val="6CA34594"/>
    <w:rsid w:val="6CA703C8"/>
    <w:rsid w:val="6CAB3449"/>
    <w:rsid w:val="6CAF3ECE"/>
    <w:rsid w:val="6CB50DE7"/>
    <w:rsid w:val="6CBD314A"/>
    <w:rsid w:val="6CDC1033"/>
    <w:rsid w:val="6CDE737B"/>
    <w:rsid w:val="6CFD6EA7"/>
    <w:rsid w:val="6D0F39D8"/>
    <w:rsid w:val="6D1A3D78"/>
    <w:rsid w:val="6D1B6B9D"/>
    <w:rsid w:val="6D1C4347"/>
    <w:rsid w:val="6D1F7993"/>
    <w:rsid w:val="6D315AEA"/>
    <w:rsid w:val="6D3A4D72"/>
    <w:rsid w:val="6D4658F8"/>
    <w:rsid w:val="6D604233"/>
    <w:rsid w:val="6D667370"/>
    <w:rsid w:val="6D8C327A"/>
    <w:rsid w:val="6DAE6049"/>
    <w:rsid w:val="6DB96331"/>
    <w:rsid w:val="6DC73D93"/>
    <w:rsid w:val="6DCD641E"/>
    <w:rsid w:val="6DD52ED0"/>
    <w:rsid w:val="6DE0333E"/>
    <w:rsid w:val="6DE12800"/>
    <w:rsid w:val="6DEE5CE3"/>
    <w:rsid w:val="6DF3121E"/>
    <w:rsid w:val="6E1F7C4B"/>
    <w:rsid w:val="6E3127D7"/>
    <w:rsid w:val="6E331948"/>
    <w:rsid w:val="6E461E74"/>
    <w:rsid w:val="6E5B2E9C"/>
    <w:rsid w:val="6E604B3F"/>
    <w:rsid w:val="6E6C279E"/>
    <w:rsid w:val="6E756B1F"/>
    <w:rsid w:val="6E91265C"/>
    <w:rsid w:val="6E9D67AE"/>
    <w:rsid w:val="6EA03C18"/>
    <w:rsid w:val="6EAE7221"/>
    <w:rsid w:val="6EB5235D"/>
    <w:rsid w:val="6EBA6E02"/>
    <w:rsid w:val="6EC473F7"/>
    <w:rsid w:val="6ECC3851"/>
    <w:rsid w:val="6ED8429D"/>
    <w:rsid w:val="6EE30492"/>
    <w:rsid w:val="6EED0F38"/>
    <w:rsid w:val="6EFE7BD1"/>
    <w:rsid w:val="6F0151B1"/>
    <w:rsid w:val="6F05021A"/>
    <w:rsid w:val="6F064B41"/>
    <w:rsid w:val="6F0D6F71"/>
    <w:rsid w:val="6F0E4941"/>
    <w:rsid w:val="6F0F46E2"/>
    <w:rsid w:val="6F1572A0"/>
    <w:rsid w:val="6F174DC6"/>
    <w:rsid w:val="6F2D283B"/>
    <w:rsid w:val="6F3239AE"/>
    <w:rsid w:val="6F4E73B8"/>
    <w:rsid w:val="6F5B6D86"/>
    <w:rsid w:val="6F616041"/>
    <w:rsid w:val="6F6D70DC"/>
    <w:rsid w:val="6F724110"/>
    <w:rsid w:val="6F751248"/>
    <w:rsid w:val="6F9743DC"/>
    <w:rsid w:val="6FD902CD"/>
    <w:rsid w:val="6FDA2D84"/>
    <w:rsid w:val="6FE078AE"/>
    <w:rsid w:val="6FE07C0D"/>
    <w:rsid w:val="6FEA4288"/>
    <w:rsid w:val="6FF17B65"/>
    <w:rsid w:val="70143B2C"/>
    <w:rsid w:val="701C751A"/>
    <w:rsid w:val="7036406F"/>
    <w:rsid w:val="70500747"/>
    <w:rsid w:val="706E6C67"/>
    <w:rsid w:val="70951A54"/>
    <w:rsid w:val="70A03D86"/>
    <w:rsid w:val="70B724C2"/>
    <w:rsid w:val="70BA6401"/>
    <w:rsid w:val="70C40F7D"/>
    <w:rsid w:val="70D76C44"/>
    <w:rsid w:val="70DA254F"/>
    <w:rsid w:val="70E261A6"/>
    <w:rsid w:val="70E37655"/>
    <w:rsid w:val="70F03B20"/>
    <w:rsid w:val="70FB773A"/>
    <w:rsid w:val="71066EA0"/>
    <w:rsid w:val="71170EBD"/>
    <w:rsid w:val="711C66C3"/>
    <w:rsid w:val="71233EF6"/>
    <w:rsid w:val="712B46B3"/>
    <w:rsid w:val="71317F0B"/>
    <w:rsid w:val="714C6190"/>
    <w:rsid w:val="71574496"/>
    <w:rsid w:val="7157594D"/>
    <w:rsid w:val="715D270E"/>
    <w:rsid w:val="7164543D"/>
    <w:rsid w:val="716B1520"/>
    <w:rsid w:val="716C4678"/>
    <w:rsid w:val="716D3EB2"/>
    <w:rsid w:val="716F61BE"/>
    <w:rsid w:val="717E6E37"/>
    <w:rsid w:val="71837B47"/>
    <w:rsid w:val="7189678B"/>
    <w:rsid w:val="71902C0D"/>
    <w:rsid w:val="719C15B2"/>
    <w:rsid w:val="71BE777B"/>
    <w:rsid w:val="71D074AE"/>
    <w:rsid w:val="71F47640"/>
    <w:rsid w:val="721575C6"/>
    <w:rsid w:val="722F2148"/>
    <w:rsid w:val="723E17BA"/>
    <w:rsid w:val="723F4C6C"/>
    <w:rsid w:val="724C7E10"/>
    <w:rsid w:val="724E1C5B"/>
    <w:rsid w:val="72561612"/>
    <w:rsid w:val="725974A3"/>
    <w:rsid w:val="725D34A7"/>
    <w:rsid w:val="72694444"/>
    <w:rsid w:val="726E2F4F"/>
    <w:rsid w:val="72710C91"/>
    <w:rsid w:val="72832719"/>
    <w:rsid w:val="728A58AF"/>
    <w:rsid w:val="728B65AA"/>
    <w:rsid w:val="72916633"/>
    <w:rsid w:val="72A056D9"/>
    <w:rsid w:val="72A858A4"/>
    <w:rsid w:val="72F83160"/>
    <w:rsid w:val="73045661"/>
    <w:rsid w:val="73053151"/>
    <w:rsid w:val="73067681"/>
    <w:rsid w:val="73141947"/>
    <w:rsid w:val="731826CC"/>
    <w:rsid w:val="73223D39"/>
    <w:rsid w:val="73246220"/>
    <w:rsid w:val="732D29E3"/>
    <w:rsid w:val="732D6613"/>
    <w:rsid w:val="73317ADF"/>
    <w:rsid w:val="73362E66"/>
    <w:rsid w:val="7348321B"/>
    <w:rsid w:val="73770529"/>
    <w:rsid w:val="73792D3A"/>
    <w:rsid w:val="73A50B60"/>
    <w:rsid w:val="73AA445A"/>
    <w:rsid w:val="73DB23B3"/>
    <w:rsid w:val="73DB2DE3"/>
    <w:rsid w:val="73FA003D"/>
    <w:rsid w:val="73FC27DC"/>
    <w:rsid w:val="740578E3"/>
    <w:rsid w:val="74166486"/>
    <w:rsid w:val="742446FB"/>
    <w:rsid w:val="742C7707"/>
    <w:rsid w:val="74345F76"/>
    <w:rsid w:val="74365CEE"/>
    <w:rsid w:val="744031AD"/>
    <w:rsid w:val="74423E2D"/>
    <w:rsid w:val="74477DAE"/>
    <w:rsid w:val="745633C4"/>
    <w:rsid w:val="7459408D"/>
    <w:rsid w:val="746B0284"/>
    <w:rsid w:val="746C6672"/>
    <w:rsid w:val="746F2C45"/>
    <w:rsid w:val="74706CF1"/>
    <w:rsid w:val="74896172"/>
    <w:rsid w:val="749937B1"/>
    <w:rsid w:val="7499605A"/>
    <w:rsid w:val="749B1FF5"/>
    <w:rsid w:val="749C2AA6"/>
    <w:rsid w:val="74A14EF6"/>
    <w:rsid w:val="74A536E0"/>
    <w:rsid w:val="74B33856"/>
    <w:rsid w:val="74BB7C74"/>
    <w:rsid w:val="74C54B6A"/>
    <w:rsid w:val="74C72DEA"/>
    <w:rsid w:val="74C9340C"/>
    <w:rsid w:val="74D90630"/>
    <w:rsid w:val="74E90FB2"/>
    <w:rsid w:val="74EA6AF3"/>
    <w:rsid w:val="74F0512C"/>
    <w:rsid w:val="74F31E31"/>
    <w:rsid w:val="74F6722B"/>
    <w:rsid w:val="75062505"/>
    <w:rsid w:val="75153B55"/>
    <w:rsid w:val="752B3379"/>
    <w:rsid w:val="753F5076"/>
    <w:rsid w:val="75755A67"/>
    <w:rsid w:val="75784DD5"/>
    <w:rsid w:val="75A64A67"/>
    <w:rsid w:val="75B8703E"/>
    <w:rsid w:val="75B929AE"/>
    <w:rsid w:val="75DC352E"/>
    <w:rsid w:val="75DD3D82"/>
    <w:rsid w:val="75E832BF"/>
    <w:rsid w:val="76091339"/>
    <w:rsid w:val="760F66F3"/>
    <w:rsid w:val="761A53C5"/>
    <w:rsid w:val="76280E6B"/>
    <w:rsid w:val="767766FC"/>
    <w:rsid w:val="767B3E8C"/>
    <w:rsid w:val="767C54DB"/>
    <w:rsid w:val="76870A83"/>
    <w:rsid w:val="76961786"/>
    <w:rsid w:val="769813AA"/>
    <w:rsid w:val="769D37E2"/>
    <w:rsid w:val="76B4739E"/>
    <w:rsid w:val="76B85DB3"/>
    <w:rsid w:val="76DD261A"/>
    <w:rsid w:val="76DD68F5"/>
    <w:rsid w:val="76DF4F5B"/>
    <w:rsid w:val="76E00FAE"/>
    <w:rsid w:val="76E014B8"/>
    <w:rsid w:val="76E45ED5"/>
    <w:rsid w:val="76E97B76"/>
    <w:rsid w:val="76EE465E"/>
    <w:rsid w:val="76F36118"/>
    <w:rsid w:val="77147E3D"/>
    <w:rsid w:val="77162DC0"/>
    <w:rsid w:val="771A18F7"/>
    <w:rsid w:val="772C460D"/>
    <w:rsid w:val="773151A4"/>
    <w:rsid w:val="773A0773"/>
    <w:rsid w:val="774B2DBD"/>
    <w:rsid w:val="775957D2"/>
    <w:rsid w:val="775A6197"/>
    <w:rsid w:val="776B2153"/>
    <w:rsid w:val="776D2980"/>
    <w:rsid w:val="777E3926"/>
    <w:rsid w:val="77830781"/>
    <w:rsid w:val="779A7B04"/>
    <w:rsid w:val="77B06F30"/>
    <w:rsid w:val="77B533CE"/>
    <w:rsid w:val="77BB0335"/>
    <w:rsid w:val="77BE6FD3"/>
    <w:rsid w:val="77C20AD6"/>
    <w:rsid w:val="77CD0717"/>
    <w:rsid w:val="77CF0438"/>
    <w:rsid w:val="77D5581E"/>
    <w:rsid w:val="77D953F3"/>
    <w:rsid w:val="77E14988"/>
    <w:rsid w:val="77E33857"/>
    <w:rsid w:val="77F4039A"/>
    <w:rsid w:val="77F56620"/>
    <w:rsid w:val="77F93A05"/>
    <w:rsid w:val="780E2ADE"/>
    <w:rsid w:val="781C169F"/>
    <w:rsid w:val="781C344D"/>
    <w:rsid w:val="782C432F"/>
    <w:rsid w:val="78301C0A"/>
    <w:rsid w:val="78397B5B"/>
    <w:rsid w:val="783A5C23"/>
    <w:rsid w:val="78496134"/>
    <w:rsid w:val="78574485"/>
    <w:rsid w:val="78727511"/>
    <w:rsid w:val="7880578A"/>
    <w:rsid w:val="788E5388"/>
    <w:rsid w:val="78AA5CF0"/>
    <w:rsid w:val="78CF6711"/>
    <w:rsid w:val="78D21E36"/>
    <w:rsid w:val="790939D1"/>
    <w:rsid w:val="79102FB2"/>
    <w:rsid w:val="791E169C"/>
    <w:rsid w:val="79620D21"/>
    <w:rsid w:val="796B3C5D"/>
    <w:rsid w:val="796C18EC"/>
    <w:rsid w:val="79876FEC"/>
    <w:rsid w:val="79903F48"/>
    <w:rsid w:val="79946B31"/>
    <w:rsid w:val="79AA36CA"/>
    <w:rsid w:val="79AB6B1C"/>
    <w:rsid w:val="79AC0945"/>
    <w:rsid w:val="79AE02B1"/>
    <w:rsid w:val="79CE69C9"/>
    <w:rsid w:val="79D033C3"/>
    <w:rsid w:val="79D43854"/>
    <w:rsid w:val="79E104AA"/>
    <w:rsid w:val="79E6490C"/>
    <w:rsid w:val="7A0B19CB"/>
    <w:rsid w:val="7A1268B5"/>
    <w:rsid w:val="7A2605B3"/>
    <w:rsid w:val="7A3866CC"/>
    <w:rsid w:val="7A3948AB"/>
    <w:rsid w:val="7A4A42A1"/>
    <w:rsid w:val="7A4C7C7F"/>
    <w:rsid w:val="7A4E5EEA"/>
    <w:rsid w:val="7A505630"/>
    <w:rsid w:val="7A526087"/>
    <w:rsid w:val="7A574C10"/>
    <w:rsid w:val="7A592EEB"/>
    <w:rsid w:val="7A68361F"/>
    <w:rsid w:val="7A7418D6"/>
    <w:rsid w:val="7A7A445B"/>
    <w:rsid w:val="7A7A5E63"/>
    <w:rsid w:val="7A8D0632"/>
    <w:rsid w:val="7A8E0D2F"/>
    <w:rsid w:val="7AB23BF5"/>
    <w:rsid w:val="7ABD2CC5"/>
    <w:rsid w:val="7ABE4FBD"/>
    <w:rsid w:val="7AC64DC5"/>
    <w:rsid w:val="7ACA4BDC"/>
    <w:rsid w:val="7AD26045"/>
    <w:rsid w:val="7AEC1EE7"/>
    <w:rsid w:val="7AF2038D"/>
    <w:rsid w:val="7AF44659"/>
    <w:rsid w:val="7AF75DE5"/>
    <w:rsid w:val="7B007EC0"/>
    <w:rsid w:val="7B0A1C83"/>
    <w:rsid w:val="7B193C74"/>
    <w:rsid w:val="7B38059E"/>
    <w:rsid w:val="7B3B008E"/>
    <w:rsid w:val="7B6E3FBF"/>
    <w:rsid w:val="7B7D32A4"/>
    <w:rsid w:val="7B927241"/>
    <w:rsid w:val="7B95779E"/>
    <w:rsid w:val="7BBD0AA3"/>
    <w:rsid w:val="7BBF0CBF"/>
    <w:rsid w:val="7BC6204D"/>
    <w:rsid w:val="7BC72653"/>
    <w:rsid w:val="7BFA5853"/>
    <w:rsid w:val="7BFC781D"/>
    <w:rsid w:val="7C042B76"/>
    <w:rsid w:val="7C057A5F"/>
    <w:rsid w:val="7C0E3AFC"/>
    <w:rsid w:val="7C115AA5"/>
    <w:rsid w:val="7C174657"/>
    <w:rsid w:val="7C2E374F"/>
    <w:rsid w:val="7C354ADD"/>
    <w:rsid w:val="7C3972C6"/>
    <w:rsid w:val="7C3F158A"/>
    <w:rsid w:val="7C472DA6"/>
    <w:rsid w:val="7C474F34"/>
    <w:rsid w:val="7C47503C"/>
    <w:rsid w:val="7C696F46"/>
    <w:rsid w:val="7C6F7FEF"/>
    <w:rsid w:val="7C85671B"/>
    <w:rsid w:val="7CAE2BAE"/>
    <w:rsid w:val="7CB400F8"/>
    <w:rsid w:val="7CBB6777"/>
    <w:rsid w:val="7CC2755B"/>
    <w:rsid w:val="7CD2434A"/>
    <w:rsid w:val="7CDD6217"/>
    <w:rsid w:val="7CF033C3"/>
    <w:rsid w:val="7D001ED5"/>
    <w:rsid w:val="7D1164CD"/>
    <w:rsid w:val="7D225AFC"/>
    <w:rsid w:val="7D474AC8"/>
    <w:rsid w:val="7D53526A"/>
    <w:rsid w:val="7D696557"/>
    <w:rsid w:val="7D6D53BF"/>
    <w:rsid w:val="7D815799"/>
    <w:rsid w:val="7D865347"/>
    <w:rsid w:val="7DAD593B"/>
    <w:rsid w:val="7DB274B4"/>
    <w:rsid w:val="7DB63C2E"/>
    <w:rsid w:val="7DBF7323"/>
    <w:rsid w:val="7DC1163E"/>
    <w:rsid w:val="7DC66CC9"/>
    <w:rsid w:val="7DE64B80"/>
    <w:rsid w:val="7DEA5A78"/>
    <w:rsid w:val="7DF509C8"/>
    <w:rsid w:val="7E1352C8"/>
    <w:rsid w:val="7E144D2B"/>
    <w:rsid w:val="7E176507"/>
    <w:rsid w:val="7E395ABE"/>
    <w:rsid w:val="7E494B76"/>
    <w:rsid w:val="7E5F22E5"/>
    <w:rsid w:val="7E6060BB"/>
    <w:rsid w:val="7E7270F8"/>
    <w:rsid w:val="7E7644D6"/>
    <w:rsid w:val="7E7A0ECD"/>
    <w:rsid w:val="7E7A2C7B"/>
    <w:rsid w:val="7E7E6C0F"/>
    <w:rsid w:val="7EB268B9"/>
    <w:rsid w:val="7EB31BE7"/>
    <w:rsid w:val="7ECD2939"/>
    <w:rsid w:val="7ED21A34"/>
    <w:rsid w:val="7ED72300"/>
    <w:rsid w:val="7EDA0ADA"/>
    <w:rsid w:val="7EE0781B"/>
    <w:rsid w:val="7F064FD8"/>
    <w:rsid w:val="7F0C595B"/>
    <w:rsid w:val="7F116497"/>
    <w:rsid w:val="7F163736"/>
    <w:rsid w:val="7F1D32B7"/>
    <w:rsid w:val="7F2220A1"/>
    <w:rsid w:val="7F296A0B"/>
    <w:rsid w:val="7F322925"/>
    <w:rsid w:val="7F354B67"/>
    <w:rsid w:val="7F533220"/>
    <w:rsid w:val="7F572FBC"/>
    <w:rsid w:val="7F5F40FF"/>
    <w:rsid w:val="7F736048"/>
    <w:rsid w:val="7F745AA9"/>
    <w:rsid w:val="7F8A69E7"/>
    <w:rsid w:val="7F8B6823"/>
    <w:rsid w:val="7FB62F33"/>
    <w:rsid w:val="7FE707E4"/>
    <w:rsid w:val="7FFF512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1"/>
      <w:lang w:val="en-US" w:eastAsia="zh-CN"/>
    </w:rPr>
  </w:style>
  <w:style w:type="paragraph" w:styleId="2">
    <w:name w:val="heading 1"/>
    <w:basedOn w:val="1"/>
    <w:next w:val="1"/>
    <w:link w:val="22"/>
    <w:autoRedefine/>
    <w:qFormat/>
    <w:uiPriority w:val="0"/>
    <w:pPr>
      <w:keepNext/>
      <w:keepLines/>
      <w:numPr>
        <w:ilvl w:val="0"/>
        <w:numId w:val="1"/>
      </w:numPr>
      <w:spacing w:before="340" w:beforeLines="0" w:after="330" w:afterLines="0" w:line="360" w:lineRule="auto"/>
      <w:ind w:left="432" w:hanging="432"/>
      <w:outlineLvl w:val="0"/>
    </w:pPr>
    <w:rPr>
      <w:rFonts w:ascii="Times New Roman" w:hAnsi="Times New Roman" w:eastAsia="仿宋" w:cs="Times New Roman"/>
      <w:b/>
      <w:bCs/>
      <w:kern w:val="44"/>
      <w:sz w:val="32"/>
      <w:szCs w:val="32"/>
    </w:rPr>
  </w:style>
  <w:style w:type="paragraph" w:styleId="3">
    <w:name w:val="heading 2"/>
    <w:basedOn w:val="1"/>
    <w:next w:val="1"/>
    <w:link w:val="24"/>
    <w:autoRedefine/>
    <w:qFormat/>
    <w:uiPriority w:val="99"/>
    <w:pPr>
      <w:keepNext/>
      <w:keepLines/>
      <w:numPr>
        <w:ilvl w:val="1"/>
        <w:numId w:val="1"/>
      </w:numPr>
      <w:tabs>
        <w:tab w:val="left" w:pos="360"/>
      </w:tabs>
      <w:spacing w:line="240" w:lineRule="auto"/>
      <w:ind w:left="575" w:hanging="575" w:firstLineChars="0"/>
      <w:outlineLvl w:val="1"/>
    </w:pPr>
    <w:rPr>
      <w:rFonts w:ascii="Times New Roman" w:hAnsi="Times New Roman" w:eastAsia="仿宋" w:cs="Times New Roman"/>
      <w:b/>
      <w:bCs/>
      <w:sz w:val="36"/>
      <w:szCs w:val="30"/>
    </w:rPr>
  </w:style>
  <w:style w:type="paragraph" w:styleId="4">
    <w:name w:val="heading 3"/>
    <w:basedOn w:val="1"/>
    <w:next w:val="1"/>
    <w:link w:val="28"/>
    <w:autoRedefine/>
    <w:qFormat/>
    <w:uiPriority w:val="0"/>
    <w:pPr>
      <w:keepNext/>
      <w:keepLines/>
      <w:widowControl w:val="0"/>
      <w:numPr>
        <w:ilvl w:val="2"/>
        <w:numId w:val="1"/>
      </w:numPr>
      <w:tabs>
        <w:tab w:val="left" w:pos="420"/>
      </w:tabs>
      <w:spacing w:line="240" w:lineRule="auto"/>
      <w:ind w:left="720" w:hanging="720"/>
      <w:jc w:val="both"/>
      <w:outlineLvl w:val="2"/>
    </w:pPr>
    <w:rPr>
      <w:rFonts w:ascii="Times New Roman" w:hAnsi="Times New Roman" w:eastAsia="仿宋" w:cs="Times New Roman"/>
      <w:b/>
      <w:bCs/>
      <w:sz w:val="28"/>
      <w:szCs w:val="32"/>
      <w:lang w:bidi="ar-SA"/>
    </w:rPr>
  </w:style>
  <w:style w:type="paragraph" w:styleId="5">
    <w:name w:val="heading 4"/>
    <w:basedOn w:val="1"/>
    <w:next w:val="1"/>
    <w:autoRedefine/>
    <w:unhideWhenUsed/>
    <w:qFormat/>
    <w:uiPriority w:val="0"/>
    <w:pPr>
      <w:keepNext/>
      <w:keepLines/>
      <w:numPr>
        <w:ilvl w:val="3"/>
        <w:numId w:val="1"/>
      </w:numPr>
      <w:spacing w:before="90" w:beforeLines="0" w:beforeAutospacing="0" w:after="280" w:afterLines="0" w:afterAutospacing="0" w:line="240" w:lineRule="auto"/>
      <w:ind w:left="864" w:leftChars="0" w:right="0" w:rightChars="0" w:hanging="864" w:firstLineChars="0"/>
      <w:outlineLvl w:val="3"/>
    </w:pPr>
    <w:rPr>
      <w:rFonts w:ascii="Arial" w:hAnsi="Arial" w:eastAsia="仿宋"/>
      <w:b/>
      <w:sz w:val="28"/>
    </w:rPr>
  </w:style>
  <w:style w:type="paragraph" w:styleId="6">
    <w:name w:val="heading 5"/>
    <w:basedOn w:val="1"/>
    <w:next w:val="1"/>
    <w:autoRedefine/>
    <w:semiHidden/>
    <w:unhideWhenUsed/>
    <w:qFormat/>
    <w:uiPriority w:val="0"/>
    <w:pPr>
      <w:keepNext/>
      <w:keepLines/>
      <w:numPr>
        <w:ilvl w:val="4"/>
        <w:numId w:val="1"/>
      </w:numPr>
      <w:tabs>
        <w:tab w:val="left" w:pos="397"/>
      </w:tabs>
      <w:spacing w:before="60" w:after="60" w:line="240" w:lineRule="auto"/>
      <w:ind w:left="1008" w:leftChars="0" w:hanging="1008"/>
      <w:outlineLvl w:val="4"/>
    </w:pPr>
    <w:rPr>
      <w:rFonts w:ascii="Times New Roman" w:hAnsi="Times New Roman" w:eastAsia="仿宋" w:cs="Times New Roman"/>
      <w:b/>
      <w:bCs/>
      <w:kern w:val="2"/>
      <w:sz w:val="28"/>
      <w:szCs w:val="28"/>
      <w:lang w:val="en-US" w:eastAsia="zh-CN" w:bidi="ar-SA"/>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autoRedefine/>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footer"/>
    <w:autoRedefine/>
    <w:qFormat/>
    <w:uiPriority w:val="0"/>
    <w:pPr>
      <w:widowControl w:val="0"/>
      <w:tabs>
        <w:tab w:val="center" w:pos="4153"/>
        <w:tab w:val="right" w:pos="8306"/>
      </w:tabs>
      <w:snapToGrid w:val="0"/>
      <w:jc w:val="left"/>
    </w:pPr>
    <w:rPr>
      <w:rFonts w:ascii="等线" w:hAnsi="等线" w:eastAsia="等线" w:cs="等线"/>
      <w:kern w:val="2"/>
      <w:sz w:val="18"/>
      <w:szCs w:val="18"/>
      <w:lang w:val="en-US" w:eastAsia="zh-CN"/>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toc 2"/>
    <w:basedOn w:val="1"/>
    <w:next w:val="1"/>
    <w:link w:val="34"/>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autoRedefine/>
    <w:qFormat/>
    <w:uiPriority w:val="99"/>
    <w:pPr>
      <w:spacing w:before="240" w:after="60"/>
      <w:jc w:val="left"/>
      <w:outlineLvl w:val="0"/>
    </w:pPr>
    <w:rPr>
      <w:rFonts w:ascii="Arial" w:hAnsi="Arial" w:cs="Arial"/>
      <w:b/>
      <w:bCs/>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customStyle="1" w:styleId="22">
    <w:name w:val="标题 1 字符"/>
    <w:link w:val="2"/>
    <w:autoRedefine/>
    <w:qFormat/>
    <w:uiPriority w:val="0"/>
    <w:rPr>
      <w:rFonts w:ascii="Times New Roman" w:hAnsi="Times New Roman" w:eastAsia="仿宋" w:cs="Times New Roman"/>
      <w:b/>
      <w:bCs/>
      <w:kern w:val="44"/>
      <w:sz w:val="32"/>
      <w:szCs w:val="32"/>
    </w:rPr>
  </w:style>
  <w:style w:type="table" w:customStyle="1" w:styleId="23">
    <w:name w:val="Table Normal"/>
    <w:autoRedefine/>
    <w:unhideWhenUsed/>
    <w:qFormat/>
    <w:uiPriority w:val="0"/>
    <w:tblPr>
      <w:tblCellMar>
        <w:top w:w="0" w:type="dxa"/>
        <w:left w:w="0" w:type="dxa"/>
        <w:bottom w:w="0" w:type="dxa"/>
        <w:right w:w="0" w:type="dxa"/>
      </w:tblCellMar>
    </w:tblPr>
  </w:style>
  <w:style w:type="character" w:customStyle="1" w:styleId="24">
    <w:name w:val="标题 2 Char"/>
    <w:link w:val="3"/>
    <w:autoRedefine/>
    <w:qFormat/>
    <w:uiPriority w:val="99"/>
    <w:rPr>
      <w:rFonts w:ascii="Times New Roman" w:hAnsi="Times New Roman" w:eastAsia="仿宋" w:cs="Times New Roman"/>
      <w:b/>
      <w:bCs/>
      <w:sz w:val="36"/>
      <w:szCs w:val="30"/>
    </w:rPr>
  </w:style>
  <w:style w:type="character" w:customStyle="1" w:styleId="25">
    <w:name w:val="font11"/>
    <w:basedOn w:val="20"/>
    <w:autoRedefine/>
    <w:qFormat/>
    <w:uiPriority w:val="0"/>
    <w:rPr>
      <w:rFonts w:hint="eastAsia" w:ascii="仿宋" w:hAnsi="仿宋" w:eastAsia="仿宋" w:cs="仿宋"/>
      <w:color w:val="000000"/>
      <w:sz w:val="24"/>
      <w:szCs w:val="24"/>
      <w:u w:val="none"/>
    </w:rPr>
  </w:style>
  <w:style w:type="character" w:customStyle="1" w:styleId="26">
    <w:name w:val="font21"/>
    <w:basedOn w:val="20"/>
    <w:autoRedefine/>
    <w:qFormat/>
    <w:uiPriority w:val="0"/>
    <w:rPr>
      <w:rFonts w:hint="eastAsia" w:ascii="仿宋" w:hAnsi="仿宋" w:eastAsia="仿宋" w:cs="仿宋"/>
      <w:color w:val="000000"/>
      <w:sz w:val="21"/>
      <w:szCs w:val="21"/>
      <w:u w:val="none"/>
    </w:rPr>
  </w:style>
  <w:style w:type="character" w:customStyle="1" w:styleId="27">
    <w:name w:val="font01"/>
    <w:basedOn w:val="20"/>
    <w:autoRedefine/>
    <w:qFormat/>
    <w:uiPriority w:val="0"/>
    <w:rPr>
      <w:rFonts w:hint="eastAsia" w:ascii="宋体" w:hAnsi="宋体" w:eastAsia="宋体" w:cs="宋体"/>
      <w:color w:val="000000"/>
      <w:sz w:val="28"/>
      <w:szCs w:val="28"/>
      <w:u w:val="none"/>
    </w:rPr>
  </w:style>
  <w:style w:type="character" w:customStyle="1" w:styleId="28">
    <w:name w:val="标题 3 字符"/>
    <w:link w:val="4"/>
    <w:autoRedefine/>
    <w:qFormat/>
    <w:locked/>
    <w:uiPriority w:val="99"/>
    <w:rPr>
      <w:rFonts w:ascii="Times New Roman" w:hAnsi="Times New Roman" w:eastAsia="仿宋" w:cs="Times New Roman"/>
      <w:b/>
      <w:bCs/>
      <w:sz w:val="28"/>
      <w:szCs w:val="32"/>
      <w:lang w:bidi="ar-SA"/>
    </w:rPr>
  </w:style>
  <w:style w:type="character" w:customStyle="1" w:styleId="29">
    <w:name w:val="font31"/>
    <w:basedOn w:val="20"/>
    <w:autoRedefine/>
    <w:qFormat/>
    <w:uiPriority w:val="0"/>
    <w:rPr>
      <w:rFonts w:hint="default" w:ascii="Times New Roman" w:hAnsi="Times New Roman" w:cs="Times New Roman"/>
      <w:color w:val="000000"/>
      <w:sz w:val="21"/>
      <w:szCs w:val="21"/>
      <w:u w:val="none"/>
    </w:rPr>
  </w:style>
  <w:style w:type="paragraph" w:customStyle="1" w:styleId="30">
    <w:name w:val="SH_表内正文"/>
    <w:autoRedefine/>
    <w:qFormat/>
    <w:locked/>
    <w:uiPriority w:val="0"/>
    <w:pPr>
      <w:widowControl w:val="0"/>
      <w:spacing w:line="240" w:lineRule="auto"/>
      <w:jc w:val="center"/>
    </w:pPr>
    <w:rPr>
      <w:rFonts w:ascii="Times New Roman" w:hAnsi="Times New Roman" w:eastAsia="宋体" w:cs="Times New Roman"/>
      <w:kern w:val="2"/>
      <w:sz w:val="21"/>
      <w:szCs w:val="24"/>
      <w:lang w:val="en-US" w:eastAsia="zh-CN" w:bidi="ar-SA"/>
    </w:rPr>
  </w:style>
  <w:style w:type="character" w:customStyle="1" w:styleId="31">
    <w:name w:val="font41"/>
    <w:basedOn w:val="20"/>
    <w:qFormat/>
    <w:uiPriority w:val="0"/>
    <w:rPr>
      <w:rFonts w:hint="default" w:ascii="Arial" w:hAnsi="Arial" w:cs="Arial"/>
      <w:color w:val="000000"/>
      <w:sz w:val="20"/>
      <w:szCs w:val="20"/>
      <w:u w:val="none"/>
    </w:rPr>
  </w:style>
  <w:style w:type="character" w:customStyle="1" w:styleId="32">
    <w:name w:val="font61"/>
    <w:basedOn w:val="20"/>
    <w:qFormat/>
    <w:uiPriority w:val="0"/>
    <w:rPr>
      <w:rFonts w:hint="default" w:ascii="Times New Roman" w:hAnsi="Times New Roman" w:cs="Times New Roman"/>
      <w:color w:val="000000"/>
      <w:sz w:val="22"/>
      <w:szCs w:val="22"/>
      <w:u w:val="none"/>
    </w:rPr>
  </w:style>
  <w:style w:type="character" w:customStyle="1" w:styleId="33">
    <w:name w:val="font51"/>
    <w:basedOn w:val="20"/>
    <w:qFormat/>
    <w:uiPriority w:val="0"/>
    <w:rPr>
      <w:rFonts w:hint="default" w:ascii="Arial" w:hAnsi="Arial" w:cs="Arial"/>
      <w:color w:val="000000"/>
      <w:sz w:val="20"/>
      <w:szCs w:val="20"/>
      <w:u w:val="none"/>
    </w:rPr>
  </w:style>
  <w:style w:type="character" w:customStyle="1" w:styleId="34">
    <w:name w:val="目录 2 Char"/>
    <w:link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698</Words>
  <Characters>871</Characters>
  <Lines>68</Lines>
  <Paragraphs>19</Paragraphs>
  <TotalTime>19</TotalTime>
  <ScaleCrop>false</ScaleCrop>
  <LinksUpToDate>false</LinksUpToDate>
  <CharactersWithSpaces>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2020-12-14T09:41:00Z</dcterms:created>
  <dc:creator>yu</dc:creator>
  <cp:lastModifiedBy>爱拼才会赢</cp:lastModifiedBy>
  <cp:lastPrinted>2024-05-14T07:21:00Z</cp:lastPrinted>
  <dcterms:modified xsi:type="dcterms:W3CDTF">2025-03-04T07:40:19Z</dcterms:modified>
  <dc:title>**县（市、区）20**年第**批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49DCBE0EFF6843F7BF39D72DF9940DAE_13</vt:lpwstr>
  </property>
  <property fmtid="{D5CDD505-2E9C-101B-9397-08002B2CF9AE}" pid="4" name="KSOTemplateDocerSaveRecord">
    <vt:lpwstr>eyJoZGlkIjoiZmNhZDU3YjVjNDQxZWE3MjVjNDNmMTEwMDM3NGQzNDYiLCJ1c2VySWQiOiIzMjMyMzgwMzgifQ==</vt:lpwstr>
  </property>
</Properties>
</file>