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b w:val="0"/>
          <w:bCs w:val="0"/>
          <w:color w:val="auto"/>
          <w:kern w:val="0"/>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b w:val="0"/>
          <w:bCs w:val="0"/>
          <w:color w:val="auto"/>
          <w:kern w:val="0"/>
          <w:sz w:val="44"/>
          <w:szCs w:val="44"/>
          <w:lang w:val="en-US" w:eastAsia="zh-CN" w:bidi="ar-SA"/>
        </w:rPr>
      </w:pPr>
      <w:r>
        <w:rPr>
          <w:rFonts w:hint="eastAsia" w:ascii="方正小标宋简体" w:hAnsi="方正小标宋简体" w:eastAsia="方正小标宋简体" w:cs="方正小标宋简体"/>
          <w:b w:val="0"/>
          <w:bCs w:val="0"/>
          <w:color w:val="auto"/>
          <w:kern w:val="0"/>
          <w:sz w:val="44"/>
          <w:szCs w:val="44"/>
          <w:lang w:val="en-US" w:eastAsia="zh-CN" w:bidi="ar-SA"/>
        </w:rPr>
        <w:t>安全隐患排查整治和督查检查重点内容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1.非煤矿山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b w:val="0"/>
          <w:bCs w:val="0"/>
          <w:color w:val="auto"/>
          <w:sz w:val="32"/>
          <w:szCs w:val="32"/>
          <w:lang w:val="en-US" w:eastAsia="zh-CN"/>
        </w:rPr>
        <w:t>冬季低温冰冻、寒潮暴雪等气候条件下，非煤矿山防范道路运输、中毒窒息、违规动火作业引发火灾、边坡坍塌等事故风险情况。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b w:val="0"/>
          <w:bCs w:val="0"/>
          <w:color w:val="auto"/>
          <w:sz w:val="32"/>
          <w:szCs w:val="32"/>
          <w:lang w:val="en-US" w:eastAsia="zh-CN"/>
        </w:rPr>
        <w:t>针对不按设计施工、以采代建、违规转包分包、“一面墙”开采等问题查处整改情况。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b w:val="0"/>
          <w:bCs w:val="0"/>
          <w:color w:val="auto"/>
          <w:sz w:val="32"/>
          <w:szCs w:val="32"/>
          <w:lang w:val="en-US" w:eastAsia="zh-CN"/>
        </w:rPr>
        <w:t>开展非煤矿山安全培训专项检查，落实安全培训主体责任、主要负责人安全培训责任、安全培训内容、安全培训制度和“三项岗位人员”持证上岗情况，以及企业自查自考情况。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2.危险化学品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b w:val="0"/>
          <w:bCs w:val="0"/>
          <w:color w:val="auto"/>
          <w:sz w:val="32"/>
          <w:szCs w:val="32"/>
          <w:lang w:val="en-US" w:eastAsia="zh-CN"/>
        </w:rPr>
        <w:t>企业全员安全生产生产责任制、重大危险源包保责任制落实情况。重大危险源企业设施设备完好、自动化控制系统投用、风险监测预警系统应用情况。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b w:val="0"/>
          <w:bCs w:val="0"/>
          <w:color w:val="auto"/>
          <w:sz w:val="32"/>
          <w:szCs w:val="32"/>
          <w:lang w:val="en-US" w:eastAsia="zh-CN"/>
        </w:rPr>
        <w:t>建设项目未批先建和企业无证生产经营整治情况。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b w:val="0"/>
          <w:bCs w:val="0"/>
          <w:color w:val="auto"/>
          <w:sz w:val="32"/>
          <w:szCs w:val="32"/>
          <w:lang w:val="en-US" w:eastAsia="zh-CN"/>
        </w:rPr>
        <w:t>结合冬季生产特点，开展防冻、防凝、防雪、防滑、防火、防静电等专项检查情况。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四是</w:t>
      </w:r>
      <w:r>
        <w:rPr>
          <w:rFonts w:hint="eastAsia" w:ascii="仿宋_GB2312" w:hAnsi="仿宋_GB2312" w:eastAsia="仿宋_GB2312" w:cs="仿宋_GB2312"/>
          <w:b w:val="0"/>
          <w:bCs w:val="0"/>
          <w:color w:val="auto"/>
          <w:sz w:val="32"/>
          <w:szCs w:val="32"/>
          <w:lang w:val="en-US" w:eastAsia="zh-CN"/>
        </w:rPr>
        <w:t>企业落实检维修、动火作业等特殊作业管控措施情况。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五是</w:t>
      </w:r>
      <w:r>
        <w:rPr>
          <w:rFonts w:hint="eastAsia" w:ascii="仿宋_GB2312" w:hAnsi="仿宋_GB2312" w:eastAsia="仿宋_GB2312" w:cs="仿宋_GB2312"/>
          <w:b w:val="0"/>
          <w:bCs w:val="0"/>
          <w:color w:val="auto"/>
          <w:sz w:val="32"/>
          <w:szCs w:val="32"/>
          <w:lang w:val="en-US" w:eastAsia="zh-CN"/>
        </w:rPr>
        <w:t>易制爆和剧毒化学品企业经营销售安全管理情况。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六是</w:t>
      </w:r>
      <w:r>
        <w:rPr>
          <w:rFonts w:hint="eastAsia" w:ascii="仿宋_GB2312" w:hAnsi="仿宋_GB2312" w:eastAsia="仿宋_GB2312" w:cs="仿宋_GB2312"/>
          <w:b w:val="0"/>
          <w:bCs w:val="0"/>
          <w:color w:val="auto"/>
          <w:sz w:val="32"/>
          <w:szCs w:val="32"/>
          <w:lang w:val="en-US" w:eastAsia="zh-CN"/>
        </w:rPr>
        <w:t>冬季开停车方案的制定情况，开停车安全及应急措施落实情况。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19" w:firstLineChars="200"/>
        <w:jc w:val="both"/>
        <w:textAlignment w:val="auto"/>
        <w:rPr>
          <w:rFonts w:hint="eastAsia" w:ascii="仿宋_GB2312" w:hAnsi="仿宋_GB2312" w:eastAsia="仿宋_GB2312" w:cs="仿宋_GB2312"/>
          <w:b w:val="0"/>
          <w:bCs w:val="0"/>
          <w:color w:val="auto"/>
          <w:spacing w:val="-6"/>
          <w:sz w:val="32"/>
          <w:szCs w:val="32"/>
          <w:lang w:val="en-US" w:eastAsia="zh-CN"/>
        </w:rPr>
      </w:pPr>
      <w:r>
        <w:rPr>
          <w:rFonts w:hint="eastAsia" w:ascii="仿宋_GB2312" w:hAnsi="仿宋_GB2312" w:eastAsia="仿宋_GB2312" w:cs="仿宋_GB2312"/>
          <w:b/>
          <w:bCs/>
          <w:color w:val="auto"/>
          <w:spacing w:val="-6"/>
          <w:sz w:val="32"/>
          <w:szCs w:val="32"/>
          <w:lang w:val="en-US" w:eastAsia="zh-CN"/>
        </w:rPr>
        <w:t>七是</w:t>
      </w:r>
      <w:r>
        <w:rPr>
          <w:rFonts w:hint="eastAsia" w:ascii="仿宋_GB2312" w:hAnsi="仿宋_GB2312" w:eastAsia="仿宋_GB2312" w:cs="仿宋_GB2312"/>
          <w:b w:val="0"/>
          <w:bCs w:val="0"/>
          <w:color w:val="auto"/>
          <w:spacing w:val="-6"/>
          <w:sz w:val="32"/>
          <w:szCs w:val="32"/>
          <w:lang w:val="en-US" w:eastAsia="zh-CN"/>
        </w:rPr>
        <w:t>试生产项目制定试生产方案和落实“三查四定”措施情况。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八是</w:t>
      </w:r>
      <w:r>
        <w:rPr>
          <w:rFonts w:hint="eastAsia" w:ascii="仿宋_GB2312" w:hAnsi="仿宋_GB2312" w:eastAsia="仿宋_GB2312" w:cs="仿宋_GB2312"/>
          <w:b w:val="0"/>
          <w:bCs w:val="0"/>
          <w:color w:val="auto"/>
          <w:sz w:val="32"/>
          <w:szCs w:val="32"/>
          <w:lang w:val="en-US" w:eastAsia="zh-CN"/>
        </w:rPr>
        <w:t>产业转移项目设计诊断、油气储罐、老旧化工装置、油气长输管道问题整改情况。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九是</w:t>
      </w:r>
      <w:r>
        <w:rPr>
          <w:rFonts w:hint="eastAsia" w:ascii="仿宋_GB2312" w:hAnsi="仿宋_GB2312" w:eastAsia="仿宋_GB2312" w:cs="仿宋_GB2312"/>
          <w:b w:val="0"/>
          <w:bCs w:val="0"/>
          <w:color w:val="auto"/>
          <w:sz w:val="32"/>
          <w:szCs w:val="32"/>
          <w:lang w:val="en-US" w:eastAsia="zh-CN"/>
        </w:rPr>
        <w:t>打击烟花爆竹非法生产、储存、销售情况。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3.冶金工贸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b w:val="0"/>
          <w:bCs w:val="0"/>
          <w:color w:val="auto"/>
          <w:sz w:val="32"/>
          <w:szCs w:val="32"/>
          <w:lang w:val="en-US" w:eastAsia="zh-CN"/>
        </w:rPr>
        <w:t>高炉、涉爆粉尘企业重点执法检查事项落实情况。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b w:val="0"/>
          <w:bCs w:val="0"/>
          <w:color w:val="auto"/>
          <w:sz w:val="32"/>
          <w:szCs w:val="32"/>
          <w:lang w:val="en-US" w:eastAsia="zh-CN"/>
        </w:rPr>
        <w:t>食品加工等轻工企业开展有限空间作业，以及机械、建材等行业易燃易爆气体管网隐患排查整治情况。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b w:val="0"/>
          <w:bCs w:val="0"/>
          <w:color w:val="auto"/>
          <w:sz w:val="32"/>
          <w:szCs w:val="32"/>
          <w:lang w:val="en-US" w:eastAsia="zh-CN"/>
        </w:rPr>
        <w:t>动火动电、高空作业、煤气区域等危险作业方案审批、安全风险辨识、安全条件确认、现场监护，以及检维修、外委外包、环保设备设施等环节安全管理措施落实情况。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4.消防</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sz w:val="32"/>
          <w:szCs w:val="32"/>
          <w:lang w:val="en-US" w:eastAsia="zh-CN"/>
        </w:rPr>
        <w:t>开展高层建筑消防设施、消防车通道、外墙保温、防火封堵等突出问题整治情况。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sz w:val="32"/>
          <w:szCs w:val="32"/>
          <w:lang w:val="en-US" w:eastAsia="zh-CN"/>
        </w:rPr>
        <w:t>高层建筑、大型商业综合体、商场市场、厂房仓库、物流仓储、餐饮、公共娱乐、医院（方舱医院）、疫情隔离场所、幼儿园、学校、养老院、文博单位、劳动密集型企业等高风险场所，违规用火用电用气、违规使用易燃可燃材料装饰装修、占堵疏散通道、停用消防设施、违章搭建彩钢板房等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sz w:val="32"/>
          <w:szCs w:val="32"/>
          <w:lang w:val="en-US" w:eastAsia="zh-CN"/>
        </w:rPr>
        <w:t>经营性自建房、沿街门店商铺、群租房、“三合一”和老旧住宅（商住混合体）等薄弱场所，违章搭建、违规操作、违规住人、违规储存使用易燃易爆危险品、电动自行车违规停放充电、员工消防意识淡薄等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四是</w:t>
      </w:r>
      <w:r>
        <w:rPr>
          <w:rFonts w:hint="eastAsia" w:ascii="仿宋_GB2312" w:hAnsi="仿宋_GB2312" w:eastAsia="仿宋_GB2312" w:cs="仿宋_GB2312"/>
          <w:sz w:val="32"/>
          <w:szCs w:val="32"/>
          <w:lang w:val="en-US" w:eastAsia="zh-CN"/>
        </w:rPr>
        <w:t>住宅小区消防车通道实行标识化管理情况，推动电动自行车集中充电、停放场</w:t>
      </w:r>
      <w:r>
        <w:rPr>
          <w:rFonts w:hint="eastAsia" w:ascii="仿宋_GB2312" w:hAnsi="仿宋_GB2312" w:eastAsia="仿宋_GB2312" w:cs="仿宋_GB2312"/>
          <w:b w:val="0"/>
          <w:bCs w:val="0"/>
          <w:color w:val="auto"/>
          <w:sz w:val="32"/>
          <w:szCs w:val="32"/>
          <w:lang w:val="en-US" w:eastAsia="zh-CN"/>
        </w:rPr>
        <w:t>所建设情况。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auto"/>
          <w:sz w:val="32"/>
          <w:szCs w:val="32"/>
          <w:lang w:val="en-US" w:eastAsia="zh-CN"/>
        </w:rPr>
        <w:t>五是</w:t>
      </w:r>
      <w:r>
        <w:rPr>
          <w:rFonts w:hint="eastAsia" w:ascii="仿宋_GB2312" w:hAnsi="仿宋_GB2312" w:eastAsia="仿宋_GB2312" w:cs="仿宋_GB2312"/>
          <w:sz w:val="32"/>
          <w:szCs w:val="32"/>
          <w:lang w:val="en-US" w:eastAsia="zh-CN"/>
        </w:rPr>
        <w:t>针对因防疫需要临时关闭的安全出口，应急处置方案制定和落实情况。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5.交通运输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b w:val="0"/>
          <w:bCs w:val="0"/>
          <w:color w:val="auto"/>
          <w:sz w:val="32"/>
          <w:szCs w:val="32"/>
          <w:lang w:val="en-US" w:eastAsia="zh-CN"/>
        </w:rPr>
        <w:t>“两客一危一货”等重点车辆源头和路面管理情况、恶劣天气应急管理工作情况。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19" w:firstLineChars="200"/>
        <w:jc w:val="both"/>
        <w:textAlignment w:val="auto"/>
        <w:rPr>
          <w:rFonts w:hint="eastAsia" w:ascii="仿宋_GB2312" w:hAnsi="仿宋_GB2312" w:eastAsia="仿宋_GB2312" w:cs="仿宋_GB2312"/>
          <w:b w:val="0"/>
          <w:bCs w:val="0"/>
          <w:color w:val="auto"/>
          <w:spacing w:val="-6"/>
          <w:sz w:val="32"/>
          <w:szCs w:val="32"/>
          <w:lang w:val="en-US" w:eastAsia="zh-CN"/>
        </w:rPr>
      </w:pPr>
      <w:r>
        <w:rPr>
          <w:rFonts w:hint="eastAsia" w:ascii="仿宋_GB2312" w:hAnsi="仿宋_GB2312" w:eastAsia="仿宋_GB2312" w:cs="仿宋_GB2312"/>
          <w:b/>
          <w:bCs/>
          <w:color w:val="auto"/>
          <w:spacing w:val="-6"/>
          <w:sz w:val="32"/>
          <w:szCs w:val="32"/>
          <w:lang w:val="en-US" w:eastAsia="zh-CN"/>
        </w:rPr>
        <w:t>二是</w:t>
      </w:r>
      <w:r>
        <w:rPr>
          <w:rFonts w:hint="eastAsia" w:ascii="仿宋_GB2312" w:hAnsi="仿宋_GB2312" w:eastAsia="仿宋_GB2312" w:cs="仿宋_GB2312"/>
          <w:b w:val="0"/>
          <w:bCs w:val="0"/>
          <w:color w:val="auto"/>
          <w:spacing w:val="-6"/>
          <w:sz w:val="32"/>
          <w:szCs w:val="32"/>
          <w:lang w:val="en-US" w:eastAsia="zh-CN"/>
        </w:rPr>
        <w:t>“三超一疲劳”、非法营运等违法违规行为查处情况。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b w:val="0"/>
          <w:bCs w:val="0"/>
          <w:color w:val="auto"/>
          <w:sz w:val="32"/>
          <w:szCs w:val="32"/>
          <w:lang w:val="en-US" w:eastAsia="zh-CN"/>
        </w:rPr>
        <w:t>临水临崖、长大桥隧、长陡下坡、高速公路团雾多发路段、易积雪结冰路段风险隐患管控以及推进防滑、防冻、防凝等安全防护措施执行落地情况。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四是</w:t>
      </w:r>
      <w:r>
        <w:rPr>
          <w:rFonts w:hint="eastAsia" w:ascii="仿宋_GB2312" w:hAnsi="仿宋_GB2312" w:eastAsia="仿宋_GB2312" w:cs="仿宋_GB2312"/>
          <w:b w:val="0"/>
          <w:bCs w:val="0"/>
          <w:color w:val="auto"/>
          <w:sz w:val="32"/>
          <w:szCs w:val="32"/>
          <w:lang w:val="en-US" w:eastAsia="zh-CN"/>
        </w:rPr>
        <w:t>农村道路交通安全治理包括优化农村客运服务、推进公路安全生命防护工程建设情况。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五是</w:t>
      </w:r>
      <w:r>
        <w:rPr>
          <w:rFonts w:hint="eastAsia" w:ascii="仿宋_GB2312" w:hAnsi="仿宋_GB2312" w:eastAsia="仿宋_GB2312" w:cs="仿宋_GB2312"/>
          <w:b w:val="0"/>
          <w:bCs w:val="0"/>
          <w:color w:val="auto"/>
          <w:sz w:val="32"/>
          <w:szCs w:val="32"/>
          <w:lang w:val="en-US" w:eastAsia="zh-CN"/>
        </w:rPr>
        <w:t>推进预防道路交通事故“减量控大”，开展重点驾驶人源头隐患治理情况。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六是</w:t>
      </w:r>
      <w:r>
        <w:rPr>
          <w:rFonts w:hint="eastAsia" w:ascii="仿宋_GB2312" w:hAnsi="仿宋_GB2312" w:eastAsia="仿宋_GB2312" w:cs="仿宋_GB2312"/>
          <w:b w:val="0"/>
          <w:bCs w:val="0"/>
          <w:color w:val="auto"/>
          <w:sz w:val="32"/>
          <w:szCs w:val="32"/>
          <w:lang w:val="en-US" w:eastAsia="zh-CN"/>
        </w:rPr>
        <w:t>开展农用车、务工包车非法违法载人专项整治情况。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19" w:firstLineChars="200"/>
        <w:jc w:val="both"/>
        <w:textAlignment w:val="auto"/>
        <w:rPr>
          <w:rFonts w:hint="eastAsia" w:ascii="仿宋_GB2312" w:hAnsi="仿宋_GB2312" w:eastAsia="仿宋_GB2312" w:cs="仿宋_GB2312"/>
          <w:b w:val="0"/>
          <w:bCs w:val="0"/>
          <w:color w:val="auto"/>
          <w:spacing w:val="-6"/>
          <w:sz w:val="32"/>
          <w:szCs w:val="32"/>
          <w:lang w:val="en-US" w:eastAsia="zh-CN"/>
        </w:rPr>
      </w:pPr>
      <w:r>
        <w:rPr>
          <w:rFonts w:hint="eastAsia" w:ascii="仿宋_GB2312" w:hAnsi="仿宋_GB2312" w:eastAsia="仿宋_GB2312" w:cs="仿宋_GB2312"/>
          <w:b/>
          <w:bCs/>
          <w:color w:val="auto"/>
          <w:spacing w:val="-6"/>
          <w:sz w:val="32"/>
          <w:szCs w:val="32"/>
          <w:lang w:val="en-US" w:eastAsia="zh-CN"/>
        </w:rPr>
        <w:t>七是</w:t>
      </w:r>
      <w:r>
        <w:rPr>
          <w:rFonts w:hint="eastAsia" w:ascii="仿宋_GB2312" w:hAnsi="仿宋_GB2312" w:eastAsia="仿宋_GB2312" w:cs="仿宋_GB2312"/>
          <w:b w:val="0"/>
          <w:bCs w:val="0"/>
          <w:color w:val="auto"/>
          <w:spacing w:val="-6"/>
          <w:sz w:val="32"/>
          <w:szCs w:val="32"/>
          <w:lang w:val="en-US" w:eastAsia="zh-CN"/>
        </w:rPr>
        <w:t>汲取事故教训，制定落实涉疫人员转运交通安全措施情况。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6.建筑施工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sz w:val="32"/>
          <w:szCs w:val="32"/>
          <w:lang w:val="en-US"/>
        </w:rPr>
        <w:t>“危大工程”以及</w:t>
      </w:r>
      <w:r>
        <w:rPr>
          <w:rFonts w:hint="eastAsia" w:ascii="仿宋_GB2312" w:hAnsi="仿宋_GB2312" w:eastAsia="仿宋_GB2312" w:cs="仿宋_GB2312"/>
          <w:sz w:val="32"/>
          <w:szCs w:val="32"/>
          <w:lang w:val="en-US" w:eastAsia="zh-CN"/>
        </w:rPr>
        <w:t>有限空间作业、高处作业</w:t>
      </w:r>
      <w:r>
        <w:rPr>
          <w:rFonts w:hint="eastAsia" w:ascii="仿宋_GB2312" w:hAnsi="仿宋_GB2312" w:eastAsia="仿宋_GB2312" w:cs="仿宋_GB2312"/>
          <w:sz w:val="32"/>
          <w:szCs w:val="32"/>
          <w:lang w:val="en-US"/>
        </w:rPr>
        <w:t>等高风险作业环节安全管控情况</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sz w:val="32"/>
          <w:szCs w:val="32"/>
          <w:lang w:val="en-US" w:eastAsia="zh-CN"/>
        </w:rPr>
        <w:t>冬季施工方案</w:t>
      </w:r>
      <w:r>
        <w:rPr>
          <w:rFonts w:hint="eastAsia" w:ascii="仿宋_GB2312" w:hAnsi="仿宋_GB2312" w:eastAsia="仿宋_GB2312" w:cs="仿宋_GB2312"/>
          <w:sz w:val="32"/>
          <w:szCs w:val="32"/>
          <w:lang w:val="en-US"/>
        </w:rPr>
        <w:t>编制实施以及</w:t>
      </w:r>
      <w:r>
        <w:rPr>
          <w:rFonts w:hint="eastAsia" w:ascii="仿宋_GB2312" w:hAnsi="仿宋_GB2312" w:eastAsia="仿宋_GB2312" w:cs="仿宋_GB2312"/>
          <w:sz w:val="32"/>
          <w:szCs w:val="32"/>
          <w:lang w:val="en-US" w:eastAsia="zh-CN"/>
        </w:rPr>
        <w:t>防滑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防冻等措施</w:t>
      </w:r>
      <w:r>
        <w:rPr>
          <w:rFonts w:hint="eastAsia" w:ascii="仿宋_GB2312" w:hAnsi="仿宋_GB2312" w:eastAsia="仿宋_GB2312" w:cs="仿宋_GB2312"/>
          <w:sz w:val="32"/>
          <w:szCs w:val="32"/>
          <w:lang w:val="en-US"/>
        </w:rPr>
        <w:t>落实情况</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sz w:val="32"/>
          <w:szCs w:val="32"/>
          <w:lang w:val="en-US" w:eastAsia="zh-CN"/>
        </w:rPr>
        <w:t>动火作业审批监护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消防设施配备</w:t>
      </w:r>
      <w:r>
        <w:rPr>
          <w:rFonts w:hint="eastAsia" w:ascii="仿宋_GB2312" w:hAnsi="仿宋_GB2312" w:eastAsia="仿宋_GB2312" w:cs="仿宋_GB2312"/>
          <w:sz w:val="32"/>
          <w:szCs w:val="32"/>
          <w:lang w:val="en-US"/>
        </w:rPr>
        <w:t>等</w:t>
      </w:r>
      <w:r>
        <w:rPr>
          <w:rFonts w:hint="eastAsia" w:ascii="仿宋_GB2312" w:hAnsi="仿宋_GB2312" w:eastAsia="仿宋_GB2312" w:cs="仿宋_GB2312"/>
          <w:sz w:val="32"/>
          <w:szCs w:val="32"/>
          <w:lang w:val="en-US" w:eastAsia="zh-CN"/>
        </w:rPr>
        <w:t>施工现场消防安全管理</w:t>
      </w:r>
      <w:r>
        <w:rPr>
          <w:rFonts w:hint="eastAsia" w:ascii="仿宋_GB2312" w:hAnsi="仿宋_GB2312" w:eastAsia="仿宋_GB2312" w:cs="仿宋_GB2312"/>
          <w:sz w:val="32"/>
          <w:szCs w:val="32"/>
          <w:lang w:val="en-US"/>
        </w:rPr>
        <w:t>情况</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auto"/>
          <w:sz w:val="32"/>
          <w:szCs w:val="32"/>
          <w:lang w:val="en-US" w:eastAsia="zh-CN"/>
        </w:rPr>
        <w:t>四是</w:t>
      </w:r>
      <w:r>
        <w:rPr>
          <w:rFonts w:hint="eastAsia" w:ascii="仿宋_GB2312" w:hAnsi="仿宋_GB2312" w:eastAsia="仿宋_GB2312" w:cs="仿宋_GB2312"/>
          <w:sz w:val="32"/>
          <w:szCs w:val="32"/>
          <w:lang w:val="en-US" w:eastAsia="zh-CN"/>
        </w:rPr>
        <w:t>工地内临时建筑私拉乱接电线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违规使用大功率电器</w:t>
      </w:r>
      <w:r>
        <w:rPr>
          <w:rFonts w:hint="eastAsia" w:ascii="仿宋_GB2312" w:hAnsi="仿宋_GB2312" w:eastAsia="仿宋_GB2312" w:cs="仿宋_GB2312"/>
          <w:sz w:val="32"/>
          <w:szCs w:val="32"/>
          <w:lang w:val="en-US"/>
        </w:rPr>
        <w:t>等现象以及</w:t>
      </w:r>
      <w:r>
        <w:rPr>
          <w:rFonts w:hint="eastAsia" w:ascii="仿宋_GB2312" w:hAnsi="仿宋_GB2312" w:eastAsia="仿宋_GB2312" w:cs="仿宋_GB2312"/>
          <w:sz w:val="32"/>
          <w:szCs w:val="32"/>
          <w:lang w:val="en-US" w:eastAsia="zh-CN"/>
        </w:rPr>
        <w:t>临时建筑使用燃烧性能低于A级要求的材料或构件老化、损坏</w:t>
      </w:r>
      <w:r>
        <w:rPr>
          <w:rFonts w:hint="eastAsia" w:ascii="仿宋_GB2312" w:hAnsi="仿宋_GB2312" w:eastAsia="仿宋_GB2312" w:cs="仿宋_GB2312"/>
          <w:sz w:val="32"/>
          <w:szCs w:val="32"/>
          <w:lang w:val="en-US"/>
        </w:rPr>
        <w:t>等安全隐患</w:t>
      </w:r>
      <w:r>
        <w:rPr>
          <w:rFonts w:hint="eastAsia" w:ascii="仿宋_GB2312" w:hAnsi="仿宋_GB2312" w:eastAsia="仿宋_GB2312" w:cs="仿宋_GB2312"/>
          <w:sz w:val="32"/>
          <w:szCs w:val="32"/>
          <w:lang w:val="en-US" w:eastAsia="zh-CN"/>
        </w:rPr>
        <w:t>治理情况。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auto"/>
          <w:sz w:val="32"/>
          <w:szCs w:val="32"/>
          <w:lang w:val="en-US" w:eastAsia="zh-CN"/>
        </w:rPr>
        <w:t>五是</w:t>
      </w:r>
      <w:r>
        <w:rPr>
          <w:rFonts w:hint="eastAsia" w:ascii="仿宋_GB2312" w:hAnsi="仿宋_GB2312" w:eastAsia="仿宋_GB2312" w:cs="仿宋_GB2312"/>
          <w:sz w:val="32"/>
          <w:szCs w:val="32"/>
          <w:lang w:val="en-US" w:eastAsia="zh-CN"/>
        </w:rPr>
        <w:t>打击转包、挂靠、违法分包等违法违规行为情况。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 w:hAnsi="仿宋" w:eastAsia="仿宋" w:cs="仿宋"/>
          <w:sz w:val="32"/>
          <w:szCs w:val="32"/>
          <w:lang w:val="en-US" w:eastAsia="zh-CN"/>
        </w:rPr>
      </w:pPr>
      <w:r>
        <w:rPr>
          <w:rFonts w:hint="eastAsia" w:ascii="仿宋_GB2312" w:hAnsi="仿宋_GB2312" w:eastAsia="仿宋_GB2312" w:cs="仿宋_GB2312"/>
          <w:b/>
          <w:bCs/>
          <w:color w:val="auto"/>
          <w:sz w:val="32"/>
          <w:szCs w:val="32"/>
          <w:lang w:val="en-US" w:eastAsia="zh-CN"/>
        </w:rPr>
        <w:t>六是</w:t>
      </w:r>
      <w:r>
        <w:rPr>
          <w:rFonts w:hint="eastAsia" w:ascii="仿宋_GB2312" w:hAnsi="仿宋_GB2312" w:eastAsia="仿宋_GB2312" w:cs="仿宋_GB2312"/>
          <w:sz w:val="32"/>
          <w:szCs w:val="32"/>
          <w:lang w:val="en-US" w:eastAsia="zh-CN"/>
        </w:rPr>
        <w:t>疫情隔离场所、方舱医院建筑安全情况。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7.城镇燃气</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b w:val="0"/>
          <w:bCs w:val="0"/>
          <w:color w:val="auto"/>
          <w:sz w:val="32"/>
          <w:szCs w:val="32"/>
          <w:lang w:val="en-US" w:eastAsia="zh-CN"/>
        </w:rPr>
        <w:t>燃气安全隐患排查摸底、老旧管道更新改造、违章占压处置、天然气置换人工煤气、三项强制措施等任务推进情况。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sz w:val="32"/>
          <w:szCs w:val="32"/>
          <w:lang w:val="en-US" w:eastAsia="zh-CN"/>
        </w:rPr>
        <w:t>学校、商场等公共场所，老旧小区、燃气工程、燃气管道设施以及燃气管网、入户管道、居民用气</w:t>
      </w:r>
      <w:r>
        <w:rPr>
          <w:rFonts w:hint="eastAsia" w:ascii="仿宋_GB2312" w:hAnsi="仿宋_GB2312" w:eastAsia="仿宋_GB2312" w:cs="仿宋_GB2312"/>
          <w:b w:val="0"/>
          <w:bCs w:val="0"/>
          <w:color w:val="auto"/>
          <w:sz w:val="32"/>
          <w:szCs w:val="32"/>
          <w:lang w:val="en-US" w:eastAsia="zh-CN"/>
        </w:rPr>
        <w:t>安全使用</w:t>
      </w:r>
      <w:r>
        <w:rPr>
          <w:rFonts w:hint="eastAsia" w:ascii="仿宋_GB2312" w:hAnsi="仿宋_GB2312" w:eastAsia="仿宋_GB2312" w:cs="仿宋_GB2312"/>
          <w:sz w:val="32"/>
          <w:szCs w:val="32"/>
          <w:lang w:val="en-US" w:eastAsia="zh-CN"/>
        </w:rPr>
        <w:t>及入户巡检</w:t>
      </w:r>
      <w:r>
        <w:rPr>
          <w:rFonts w:hint="eastAsia" w:ascii="仿宋_GB2312" w:hAnsi="仿宋_GB2312" w:eastAsia="仿宋_GB2312" w:cs="仿宋_GB2312"/>
          <w:b w:val="0"/>
          <w:bCs w:val="0"/>
          <w:color w:val="auto"/>
          <w:sz w:val="32"/>
          <w:szCs w:val="32"/>
          <w:lang w:val="en-US" w:eastAsia="zh-CN"/>
        </w:rPr>
        <w:t>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b w:val="0"/>
          <w:bCs w:val="0"/>
          <w:color w:val="auto"/>
          <w:sz w:val="32"/>
          <w:szCs w:val="32"/>
          <w:lang w:val="en-US" w:eastAsia="zh-CN"/>
        </w:rPr>
        <w:t>城中村餐饮行业场所内燃气管道腐蚀、漏气，管道燃气使用场所通风，燃气报警器安装及运行等情况。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四是</w:t>
      </w:r>
      <w:r>
        <w:rPr>
          <w:rFonts w:hint="eastAsia" w:ascii="仿宋_GB2312" w:hAnsi="仿宋_GB2312" w:eastAsia="仿宋_GB2312" w:cs="仿宋_GB2312"/>
          <w:b w:val="0"/>
          <w:bCs w:val="0"/>
          <w:color w:val="auto"/>
          <w:sz w:val="32"/>
          <w:szCs w:val="32"/>
          <w:lang w:val="en-US" w:eastAsia="zh-CN"/>
        </w:rPr>
        <w:t>液化石油气瓶尤其是使用不符合要求或超过使用寿命的钢瓶等监督管理情况。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auto"/>
          <w:sz w:val="32"/>
          <w:szCs w:val="32"/>
          <w:lang w:val="en-US" w:eastAsia="zh-CN"/>
        </w:rPr>
        <w:t>五是</w:t>
      </w:r>
      <w:r>
        <w:rPr>
          <w:rFonts w:hint="eastAsia" w:ascii="仿宋_GB2312" w:hAnsi="仿宋_GB2312" w:eastAsia="仿宋_GB2312" w:cs="仿宋_GB2312"/>
          <w:sz w:val="32"/>
          <w:szCs w:val="32"/>
          <w:lang w:val="en-US" w:eastAsia="zh-CN"/>
        </w:rPr>
        <w:t>城镇燃气企业人员培训及持证、设施设备巡检、入户安全检查及应急预案备案等情况。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auto"/>
          <w:sz w:val="32"/>
          <w:szCs w:val="32"/>
          <w:lang w:val="en-US" w:eastAsia="zh-CN"/>
        </w:rPr>
        <w:t>六是</w:t>
      </w:r>
      <w:r>
        <w:rPr>
          <w:rFonts w:hint="eastAsia" w:ascii="仿宋_GB2312" w:hAnsi="仿宋_GB2312" w:eastAsia="仿宋_GB2312" w:cs="仿宋_GB2312"/>
          <w:sz w:val="32"/>
          <w:szCs w:val="32"/>
          <w:lang w:val="en-US" w:eastAsia="zh-CN"/>
        </w:rPr>
        <w:t>整治不合格灶具、“黑气瓶”情况。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8.经营性自建房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sz w:val="32"/>
          <w:szCs w:val="32"/>
          <w:lang w:val="en-US" w:eastAsia="zh-CN"/>
        </w:rPr>
        <w:t>以改扩建、三层及以上、钢结构“三类房屋”，以及存在地质灾害隐患、消防安全隐患等问题的经营性自建房为重点，突出城乡结合部、城中村、安置区、学校医院周边等人员密集场所整治。</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sz w:val="32"/>
          <w:szCs w:val="32"/>
          <w:lang w:val="en-US" w:eastAsia="zh-CN"/>
        </w:rPr>
        <w:t>在减少存量的同时，严控增量风险情况；</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sz w:val="32"/>
          <w:szCs w:val="32"/>
          <w:lang w:val="en-US" w:eastAsia="zh-CN"/>
        </w:rPr>
        <w:t>针对隐患房屋，健全完善日常巡查制度和管控情况；</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sz w:val="32"/>
          <w:szCs w:val="32"/>
          <w:lang w:val="en-US" w:eastAsia="zh-CN"/>
        </w:rPr>
        <w:t>按照“双通知一报告”要求，落实问题移送、分类整治和消除隐患等情况。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sz w:val="32"/>
          <w:szCs w:val="32"/>
          <w:lang w:val="en-US" w:eastAsia="zh-CN"/>
        </w:rPr>
        <w:t>9.</w:t>
      </w:r>
      <w:r>
        <w:rPr>
          <w:rFonts w:hint="eastAsia" w:ascii="黑体" w:hAnsi="黑体" w:eastAsia="黑体" w:cs="黑体"/>
          <w:b w:val="0"/>
          <w:bCs w:val="0"/>
          <w:color w:val="auto"/>
          <w:kern w:val="2"/>
          <w:sz w:val="32"/>
          <w:szCs w:val="32"/>
          <w:lang w:val="en-US" w:eastAsia="zh-CN" w:bidi="ar-SA"/>
        </w:rPr>
        <w:t>油气长输管线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color w:val="auto"/>
          <w:sz w:val="32"/>
          <w:szCs w:val="32"/>
          <w:lang w:val="en-US" w:eastAsia="zh-CN"/>
        </w:rPr>
        <w:t>长输管线高后果区包括密闭空间、建筑占压、暗沟（管）敷设等可能发生燃气串气等隐患排查治理情况。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eastAsia="zh-CN"/>
        </w:rPr>
        <w:t>针对全市长输管线高后果高风险区域，落实“一区一案”管控措施，与管道企业建立日常联防联控、定期会商研判和协同应</w:t>
      </w:r>
      <w:r>
        <w:rPr>
          <w:rFonts w:hint="eastAsia" w:ascii="仿宋_GB2312" w:hAnsi="仿宋_GB2312" w:eastAsia="仿宋_GB2312" w:cs="仿宋_GB2312"/>
          <w:sz w:val="32"/>
          <w:szCs w:val="32"/>
        </w:rPr>
        <w:t>急处置工作机制</w:t>
      </w:r>
      <w:r>
        <w:rPr>
          <w:rFonts w:hint="eastAsia" w:ascii="仿宋_GB2312" w:hAnsi="仿宋_GB2312" w:eastAsia="仿宋_GB2312" w:cs="仿宋_GB2312"/>
          <w:sz w:val="32"/>
          <w:szCs w:val="32"/>
          <w:lang w:eastAsia="zh-CN"/>
        </w:rPr>
        <w:t>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eastAsia="zh-CN"/>
        </w:rPr>
        <w:t>对于</w:t>
      </w:r>
      <w:r>
        <w:rPr>
          <w:rFonts w:hint="eastAsia" w:ascii="仿宋_GB2312" w:hAnsi="仿宋_GB2312" w:eastAsia="仿宋_GB2312" w:cs="仿宋_GB2312"/>
          <w:sz w:val="32"/>
          <w:szCs w:val="32"/>
        </w:rPr>
        <w:t>管道占压、安全距离不足、不满足标准规范要求的交叉穿越，尤其是与市政设施交叉穿越等隐患</w:t>
      </w:r>
      <w:r>
        <w:rPr>
          <w:rFonts w:hint="eastAsia" w:ascii="仿宋_GB2312" w:hAnsi="仿宋_GB2312" w:eastAsia="仿宋_GB2312" w:cs="仿宋_GB2312"/>
          <w:sz w:val="32"/>
          <w:szCs w:val="32"/>
          <w:lang w:eastAsia="zh-CN"/>
        </w:rPr>
        <w:t>整治情况</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color w:val="000000"/>
          <w:kern w:val="0"/>
          <w:sz w:val="32"/>
          <w:szCs w:val="32"/>
          <w:shd w:val="clear" w:color="auto" w:fill="FFFFFF"/>
          <w:lang w:val="en-US" w:eastAsia="zh-CN" w:bidi="ar-SA"/>
        </w:rPr>
        <w:t>全面梳理通过管道内外检测等方式排查发现的管道本体及附属设施隐患，是否对局部腐蚀减薄、管体几何变形等隐患及时采取腐蚀防护、补强、换管等治理措施。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10.电力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color w:val="auto"/>
          <w:sz w:val="32"/>
          <w:szCs w:val="32"/>
          <w:lang w:val="en-US" w:eastAsia="zh-CN"/>
        </w:rPr>
        <w:t>重要输电通道</w:t>
      </w:r>
      <w:r>
        <w:rPr>
          <w:rFonts w:hint="eastAsia" w:ascii="仿宋_GB2312" w:hAnsi="仿宋_GB2312" w:eastAsia="仿宋_GB2312" w:cs="仿宋_GB2312"/>
          <w:b w:val="0"/>
          <w:bCs w:val="0"/>
          <w:color w:val="auto"/>
          <w:sz w:val="32"/>
          <w:szCs w:val="32"/>
          <w:lang w:val="en-US" w:eastAsia="zh-Hans"/>
        </w:rPr>
        <w:t>经</w:t>
      </w:r>
      <w:r>
        <w:rPr>
          <w:rFonts w:hint="eastAsia" w:ascii="仿宋_GB2312" w:hAnsi="仿宋_GB2312" w:eastAsia="仿宋_GB2312" w:cs="仿宋_GB2312"/>
          <w:b w:val="0"/>
          <w:bCs w:val="0"/>
          <w:color w:val="auto"/>
          <w:sz w:val="32"/>
          <w:szCs w:val="32"/>
          <w:lang w:val="en-US" w:eastAsia="zh-CN"/>
        </w:rPr>
        <w:t>过</w:t>
      </w:r>
      <w:r>
        <w:rPr>
          <w:rFonts w:hint="eastAsia" w:ascii="仿宋_GB2312" w:hAnsi="仿宋_GB2312" w:eastAsia="仿宋_GB2312" w:cs="仿宋_GB2312"/>
          <w:b w:val="0"/>
          <w:bCs w:val="0"/>
          <w:color w:val="auto"/>
          <w:sz w:val="32"/>
          <w:szCs w:val="32"/>
          <w:lang w:val="en-US" w:eastAsia="zh-Hans"/>
        </w:rPr>
        <w:t>农</w:t>
      </w:r>
      <w:r>
        <w:rPr>
          <w:rFonts w:hint="eastAsia" w:ascii="仿宋_GB2312" w:hAnsi="仿宋_GB2312" w:eastAsia="仿宋_GB2312" w:cs="仿宋_GB2312"/>
          <w:b w:val="0"/>
          <w:bCs w:val="0"/>
          <w:color w:val="auto"/>
          <w:sz w:val="32"/>
          <w:szCs w:val="32"/>
          <w:lang w:val="en-US" w:eastAsia="zh-CN"/>
        </w:rPr>
        <w:t>林草区火灾</w:t>
      </w:r>
      <w:r>
        <w:rPr>
          <w:rFonts w:hint="eastAsia" w:ascii="仿宋_GB2312" w:hAnsi="仿宋_GB2312" w:eastAsia="仿宋_GB2312" w:cs="仿宋_GB2312"/>
          <w:b w:val="0"/>
          <w:bCs w:val="0"/>
          <w:color w:val="auto"/>
          <w:sz w:val="32"/>
          <w:szCs w:val="32"/>
          <w:lang w:val="en-US" w:eastAsia="zh-Hans"/>
        </w:rPr>
        <w:t>风险与地方建立联防联控机制</w:t>
      </w:r>
      <w:r>
        <w:rPr>
          <w:rFonts w:hint="eastAsia" w:ascii="仿宋_GB2312" w:hAnsi="仿宋_GB2312" w:eastAsia="仿宋_GB2312" w:cs="仿宋_GB2312"/>
          <w:b w:val="0"/>
          <w:bCs w:val="0"/>
          <w:color w:val="auto"/>
          <w:sz w:val="32"/>
          <w:szCs w:val="32"/>
          <w:lang w:val="en-US" w:eastAsia="zh-CN"/>
        </w:rPr>
        <w:t>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color w:val="auto"/>
          <w:sz w:val="32"/>
          <w:szCs w:val="32"/>
          <w:lang w:val="en-US" w:eastAsia="zh-Hans"/>
        </w:rPr>
        <w:t>并网发电企业燃料供应安全</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eastAsia="zh-Hans"/>
        </w:rPr>
        <w:t>运维技改检修高风险作业的风险预控</w:t>
      </w:r>
      <w:r>
        <w:rPr>
          <w:rFonts w:hint="eastAsia" w:ascii="仿宋_GB2312" w:hAnsi="仿宋_GB2312" w:eastAsia="仿宋_GB2312" w:cs="仿宋_GB2312"/>
          <w:b w:val="0"/>
          <w:bCs w:val="0"/>
          <w:color w:val="auto"/>
          <w:sz w:val="32"/>
          <w:szCs w:val="32"/>
          <w:lang w:val="en-US" w:eastAsia="zh-CN"/>
        </w:rPr>
        <w:t>措施落实情况，</w:t>
      </w:r>
      <w:r>
        <w:rPr>
          <w:rFonts w:hint="eastAsia" w:ascii="仿宋_GB2312" w:hAnsi="仿宋_GB2312" w:eastAsia="仿宋_GB2312" w:cs="仿宋_GB2312"/>
          <w:b w:val="0"/>
          <w:bCs w:val="0"/>
          <w:color w:val="auto"/>
          <w:sz w:val="32"/>
          <w:szCs w:val="32"/>
          <w:lang w:val="en-US" w:eastAsia="zh-Hans"/>
        </w:rPr>
        <w:t>外委单位资质和人员培训交底</w:t>
      </w:r>
      <w:r>
        <w:rPr>
          <w:rFonts w:hint="eastAsia" w:ascii="仿宋_GB2312" w:hAnsi="仿宋_GB2312" w:eastAsia="仿宋_GB2312" w:cs="仿宋_GB2312"/>
          <w:b w:val="0"/>
          <w:bCs w:val="0"/>
          <w:color w:val="auto"/>
          <w:sz w:val="32"/>
          <w:szCs w:val="32"/>
          <w:lang w:val="en-US" w:eastAsia="zh-CN"/>
        </w:rPr>
        <w:t>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机组安全稳定连续运行和电热负荷稳定输出情况。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sz w:val="32"/>
          <w:szCs w:val="32"/>
          <w:lang w:val="en-US" w:eastAsia="zh-CN"/>
        </w:rPr>
        <w:t>动火、受限空间和吊装等特殊作业管理情况。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kern w:val="2"/>
          <w:sz w:val="32"/>
          <w:szCs w:val="32"/>
          <w:lang w:val="en-US" w:eastAsia="zh-CN" w:bidi="ar-SA"/>
        </w:rPr>
        <w:t>11.</w:t>
      </w:r>
      <w:r>
        <w:rPr>
          <w:rFonts w:hint="eastAsia" w:ascii="黑体" w:hAnsi="黑体" w:eastAsia="黑体" w:cs="黑体"/>
          <w:b w:val="0"/>
          <w:bCs w:val="0"/>
          <w:color w:val="auto"/>
          <w:sz w:val="32"/>
          <w:szCs w:val="32"/>
          <w:lang w:val="en-US" w:eastAsia="zh-CN"/>
        </w:rPr>
        <w:t>文化旅游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b w:val="0"/>
          <w:bCs w:val="0"/>
          <w:color w:val="auto"/>
          <w:sz w:val="32"/>
          <w:szCs w:val="32"/>
          <w:lang w:val="en-US" w:eastAsia="zh-CN"/>
        </w:rPr>
        <w:t>旅行社开展风险评估、召开行前说明会、落实“五不租”制度和“一团一报”并上传至“全国旅游监管服务平台”情况。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b w:val="0"/>
          <w:bCs w:val="0"/>
          <w:color w:val="auto"/>
          <w:sz w:val="32"/>
          <w:szCs w:val="32"/>
          <w:lang w:val="en-US" w:eastAsia="zh-CN"/>
        </w:rPr>
        <w:t>A级旅游景区实行“限量、预约、错峰”管理，落实森林草原防灭火措施，开展消防安全管理、教育培训、应急演练、设施设备保养维护、安全隐患排查情况。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b w:val="0"/>
          <w:bCs w:val="0"/>
          <w:color w:val="auto"/>
          <w:sz w:val="32"/>
          <w:szCs w:val="32"/>
          <w:lang w:val="en-US" w:eastAsia="zh-CN"/>
        </w:rPr>
        <w:t>文化活动场所建立安全生产责任制，落实安全生产规章制度和操作规程，加强消防设施器材的维护、保养、检测情况，设置疏散通道、疏散标志，以及开展安全生产教育培训和应急救援准备等工作情况。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12.特种设备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b w:val="0"/>
          <w:bCs w:val="0"/>
          <w:color w:val="auto"/>
          <w:sz w:val="32"/>
          <w:szCs w:val="32"/>
          <w:lang w:val="en-US" w:eastAsia="zh-CN"/>
        </w:rPr>
        <w:t>特种设备使用单位安全主体责任，包括安全管理机构、管理制度、管理人员，设备使用登记、作业人员持证，定期检验、应急预案以及隐患排查治理，落实重大活动、节假日等特殊时段的安全防范措施等情况。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b w:val="0"/>
          <w:bCs w:val="0"/>
          <w:color w:val="auto"/>
          <w:sz w:val="32"/>
          <w:szCs w:val="32"/>
          <w:lang w:val="en-US" w:eastAsia="zh-CN"/>
        </w:rPr>
        <w:t>锅炉、压力容器、气瓶、压力管道、电梯等重点设备和安全附件、安全保护装置事故隐患排查治理和非法违法使用整治情况。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b w:val="0"/>
          <w:bCs w:val="0"/>
          <w:color w:val="auto"/>
          <w:sz w:val="32"/>
          <w:szCs w:val="32"/>
          <w:lang w:val="en-US" w:eastAsia="zh-CN"/>
        </w:rPr>
        <w:t>特种设备生产单位未经许可擅自，或者超出许可范围从事生产活动，以及特种设备使用单位不按规定进行安全培训或无证上岗等行为整治情况。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sz w:val="32"/>
          <w:szCs w:val="32"/>
          <w:lang w:val="en-US" w:eastAsia="zh-CN"/>
        </w:rPr>
        <w:t>13.</w:t>
      </w:r>
      <w:r>
        <w:rPr>
          <w:rFonts w:hint="eastAsia" w:ascii="黑体" w:hAnsi="黑体" w:eastAsia="黑体" w:cs="黑体"/>
          <w:b w:val="0"/>
          <w:bCs w:val="0"/>
          <w:color w:val="auto"/>
          <w:kern w:val="2"/>
          <w:sz w:val="32"/>
          <w:szCs w:val="32"/>
          <w:lang w:val="en-US" w:eastAsia="zh-CN" w:bidi="ar-SA"/>
        </w:rPr>
        <w:t>森林防火</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林下可燃物、林区林缘地带300米范围林带边缘50米内耕地内“农田剩余物”清理情况。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林区边缘300米林带50米范围禁止焚烧可燃物情况。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防火通道、隔离带、瞭望塔、防火物资储备</w:t>
      </w:r>
      <w:bookmarkStart w:id="0" w:name="_GoBack"/>
      <w:bookmarkEnd w:id="0"/>
      <w:r>
        <w:rPr>
          <w:rFonts w:hint="eastAsia" w:ascii="仿宋_GB2312" w:hAnsi="仿宋_GB2312" w:eastAsia="仿宋_GB2312" w:cs="仿宋_GB2312"/>
          <w:b w:val="0"/>
          <w:bCs w:val="0"/>
          <w:sz w:val="32"/>
          <w:szCs w:val="32"/>
          <w:lang w:val="en-US" w:eastAsia="zh-CN"/>
        </w:rPr>
        <w:t>等基础设施建设情况。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b w:val="0"/>
          <w:bCs w:val="0"/>
          <w:sz w:val="32"/>
          <w:szCs w:val="32"/>
          <w:lang w:val="en-US" w:eastAsia="zh-CN"/>
        </w:rPr>
        <w:t>森林草原防灭火责任制落实情况、值班值守以及野外火源管控和巡查巡护措施落实情况。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14.打击非法违法采矿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一是打击</w:t>
      </w:r>
      <w:r>
        <w:rPr>
          <w:rFonts w:hint="eastAsia" w:ascii="仿宋_GB2312" w:hAnsi="仿宋_GB2312" w:eastAsia="仿宋_GB2312" w:cs="仿宋_GB2312"/>
          <w:sz w:val="32"/>
          <w:szCs w:val="32"/>
          <w:lang w:val="en-US" w:eastAsia="zh-CN"/>
        </w:rPr>
        <w:t>非法盗采矿产资源情况。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二是打击</w:t>
      </w:r>
      <w:r>
        <w:rPr>
          <w:rFonts w:hint="eastAsia" w:ascii="仿宋_GB2312" w:hAnsi="仿宋_GB2312" w:eastAsia="仿宋_GB2312" w:cs="仿宋_GB2312"/>
          <w:sz w:val="32"/>
          <w:szCs w:val="32"/>
          <w:lang w:val="en-US" w:eastAsia="zh-CN"/>
        </w:rPr>
        <w:t>矿山超层越界开采行为情况。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废弃（关闭）矿井、私挖滥采易发点监督管理情况。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sz w:val="32"/>
          <w:szCs w:val="32"/>
          <w:lang w:val="en-US" w:eastAsia="zh-CN"/>
        </w:rPr>
        <w:t>深挖非法违法行为背后存在的“保护伞”及失职渎职问题情况。</w:t>
      </w:r>
    </w:p>
    <w:p>
      <w:pPr>
        <w:pStyle w:val="1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15.危废处置</w:t>
      </w:r>
    </w:p>
    <w:p>
      <w:pPr>
        <w:pStyle w:val="1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auto"/>
          <w:kern w:val="2"/>
          <w:sz w:val="32"/>
          <w:szCs w:val="32"/>
          <w:lang w:val="en-US" w:eastAsia="zh-CN" w:bidi="ar-SA"/>
        </w:rPr>
        <w:t>一是</w:t>
      </w:r>
      <w:r>
        <w:rPr>
          <w:rFonts w:hint="eastAsia" w:ascii="仿宋_GB2312" w:hAnsi="仿宋_GB2312" w:eastAsia="仿宋_GB2312" w:cs="仿宋_GB2312"/>
          <w:sz w:val="32"/>
          <w:szCs w:val="32"/>
          <w:lang w:val="en-US" w:eastAsia="zh-CN"/>
        </w:rPr>
        <w:t>危险废物产生单位和危险废物经营单位（含医疗废物集中处置单位）按照《危险废物规范化环境管理评估指标》开展检查情况。</w:t>
      </w:r>
    </w:p>
    <w:p>
      <w:pPr>
        <w:pStyle w:val="1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3"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bCs/>
          <w:color w:val="auto"/>
          <w:kern w:val="2"/>
          <w:sz w:val="32"/>
          <w:szCs w:val="32"/>
          <w:lang w:val="en-US" w:eastAsia="zh-CN" w:bidi="ar-SA"/>
        </w:rPr>
        <w:t>二是</w:t>
      </w:r>
      <w:r>
        <w:rPr>
          <w:rFonts w:hint="eastAsia" w:ascii="仿宋_GB2312" w:hAnsi="仿宋_GB2312" w:eastAsia="仿宋_GB2312" w:cs="仿宋_GB2312"/>
          <w:b w:val="0"/>
          <w:bCs/>
          <w:color w:val="auto"/>
          <w:sz w:val="32"/>
          <w:szCs w:val="32"/>
          <w:lang w:val="en-US" w:eastAsia="zh-CN"/>
        </w:rPr>
        <w:t>涉及危险废物企业危险废物贮存、利用及处置等环节管理台账、转移联单落实情况。</w:t>
      </w:r>
    </w:p>
    <w:p>
      <w:pPr>
        <w:pStyle w:val="1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19" w:firstLineChars="200"/>
        <w:jc w:val="both"/>
        <w:textAlignment w:val="auto"/>
        <w:rPr>
          <w:rFonts w:hint="eastAsia" w:ascii="仿宋_GB2312" w:hAnsi="仿宋_GB2312" w:eastAsia="仿宋_GB2312" w:cs="仿宋_GB2312"/>
          <w:b w:val="0"/>
          <w:bCs/>
          <w:color w:val="auto"/>
          <w:spacing w:val="-6"/>
          <w:sz w:val="32"/>
          <w:szCs w:val="32"/>
          <w:lang w:val="en-US" w:eastAsia="zh-CN"/>
        </w:rPr>
      </w:pPr>
      <w:r>
        <w:rPr>
          <w:rFonts w:hint="eastAsia" w:ascii="仿宋_GB2312" w:hAnsi="仿宋_GB2312" w:eastAsia="仿宋_GB2312" w:cs="仿宋_GB2312"/>
          <w:b/>
          <w:bCs/>
          <w:color w:val="auto"/>
          <w:spacing w:val="-6"/>
          <w:kern w:val="2"/>
          <w:sz w:val="32"/>
          <w:szCs w:val="32"/>
          <w:lang w:val="en-US" w:eastAsia="zh-CN" w:bidi="ar-SA"/>
        </w:rPr>
        <w:t>三是</w:t>
      </w:r>
      <w:r>
        <w:rPr>
          <w:rFonts w:hint="eastAsia" w:ascii="仿宋_GB2312" w:hAnsi="仿宋_GB2312" w:eastAsia="仿宋_GB2312" w:cs="仿宋_GB2312"/>
          <w:b w:val="0"/>
          <w:bCs/>
          <w:color w:val="auto"/>
          <w:spacing w:val="-6"/>
          <w:sz w:val="32"/>
          <w:szCs w:val="32"/>
          <w:lang w:val="en-US" w:eastAsia="zh-CN"/>
        </w:rPr>
        <w:t>危险废物企业危险废物混装、分类存放危险废物情况。</w:t>
      </w:r>
    </w:p>
    <w:p>
      <w:pPr>
        <w:pStyle w:val="1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kern w:val="2"/>
          <w:sz w:val="32"/>
          <w:szCs w:val="32"/>
          <w:lang w:val="en-US" w:eastAsia="zh-CN" w:bidi="ar-SA"/>
        </w:rPr>
        <w:t>四是</w:t>
      </w:r>
      <w:r>
        <w:rPr>
          <w:rFonts w:hint="eastAsia" w:ascii="仿宋_GB2312" w:hAnsi="仿宋_GB2312" w:eastAsia="仿宋_GB2312" w:cs="仿宋_GB2312"/>
          <w:b w:val="0"/>
          <w:bCs/>
          <w:color w:val="auto"/>
          <w:sz w:val="32"/>
          <w:szCs w:val="32"/>
          <w:lang w:val="en-US" w:eastAsia="zh-CN"/>
        </w:rPr>
        <w:t>属性不明固体废物开展危险废物鉴别、经营单位超期贮存等情况及相关危险废物管理制度落实情况。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kern w:val="2"/>
          <w:sz w:val="32"/>
          <w:szCs w:val="32"/>
          <w:lang w:val="en-US" w:eastAsia="zh-CN" w:bidi="ar-SA"/>
        </w:rPr>
        <w:t>16.</w:t>
      </w:r>
      <w:r>
        <w:rPr>
          <w:rFonts w:hint="eastAsia" w:ascii="黑体" w:hAnsi="黑体" w:eastAsia="黑体" w:cs="黑体"/>
          <w:b w:val="0"/>
          <w:bCs w:val="0"/>
          <w:color w:val="auto"/>
          <w:sz w:val="32"/>
          <w:szCs w:val="32"/>
          <w:lang w:val="en-US" w:eastAsia="zh-CN"/>
        </w:rPr>
        <w:t>民爆：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b w:val="0"/>
          <w:bCs w:val="0"/>
          <w:color w:val="auto"/>
          <w:sz w:val="32"/>
          <w:szCs w:val="32"/>
          <w:lang w:val="en-US" w:eastAsia="zh-CN"/>
        </w:rPr>
        <w:t>民爆物品专用库房是否符合有关技术标准和规程情况，爆破作业人员及民爆库房值守人员培训持证情况。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b w:val="0"/>
          <w:bCs w:val="0"/>
          <w:color w:val="auto"/>
          <w:sz w:val="32"/>
          <w:szCs w:val="32"/>
          <w:lang w:val="en-US" w:eastAsia="zh-CN"/>
        </w:rPr>
        <w:t>民爆物品储存库人防、物防、技防、犬防、消防等治安防范措施落实情况。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b w:val="0"/>
          <w:bCs w:val="0"/>
          <w:color w:val="auto"/>
          <w:sz w:val="32"/>
          <w:szCs w:val="32"/>
          <w:lang w:val="en-US" w:eastAsia="zh-CN"/>
        </w:rPr>
        <w:t>民爆物品定员定量管理和出入库管理情况。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四是</w:t>
      </w:r>
      <w:r>
        <w:rPr>
          <w:rFonts w:hint="eastAsia" w:ascii="仿宋_GB2312" w:hAnsi="仿宋_GB2312" w:eastAsia="仿宋_GB2312" w:cs="仿宋_GB2312"/>
          <w:b w:val="0"/>
          <w:bCs w:val="0"/>
          <w:color w:val="auto"/>
          <w:sz w:val="32"/>
          <w:szCs w:val="32"/>
          <w:lang w:val="en-US" w:eastAsia="zh-CN"/>
        </w:rPr>
        <w:t>民用爆炸物品重大危险源管理情况。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五是</w:t>
      </w:r>
      <w:r>
        <w:rPr>
          <w:rFonts w:hint="eastAsia" w:ascii="仿宋_GB2312" w:hAnsi="仿宋_GB2312" w:eastAsia="仿宋_GB2312" w:cs="仿宋_GB2312"/>
          <w:b w:val="0"/>
          <w:bCs w:val="0"/>
          <w:color w:val="auto"/>
          <w:sz w:val="32"/>
          <w:szCs w:val="32"/>
          <w:lang w:val="en-US" w:eastAsia="zh-CN"/>
        </w:rPr>
        <w:t>民用爆炸物品购买、运输、爆破作业等环节安全管理和爆炸物品流向管控情况。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六是</w:t>
      </w:r>
      <w:r>
        <w:rPr>
          <w:rFonts w:hint="eastAsia" w:ascii="仿宋_GB2312" w:hAnsi="仿宋_GB2312" w:eastAsia="仿宋_GB2312" w:cs="仿宋_GB2312"/>
          <w:b w:val="0"/>
          <w:bCs w:val="0"/>
          <w:color w:val="auto"/>
          <w:sz w:val="32"/>
          <w:szCs w:val="32"/>
          <w:lang w:val="en-US" w:eastAsia="zh-CN"/>
        </w:rPr>
        <w:t>开展可能藏匿非法爆炸物品集中清查收缴情况。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19" w:firstLineChars="200"/>
        <w:textAlignment w:val="auto"/>
        <w:rPr>
          <w:rFonts w:hint="eastAsia" w:ascii="仿宋_GB2312" w:hAnsi="仿宋_GB2312" w:eastAsia="仿宋_GB2312" w:cs="仿宋_GB2312"/>
          <w:b w:val="0"/>
          <w:bCs w:val="0"/>
          <w:color w:val="auto"/>
          <w:spacing w:val="-6"/>
          <w:sz w:val="32"/>
          <w:szCs w:val="32"/>
          <w:lang w:val="en-US" w:eastAsia="zh-CN"/>
        </w:rPr>
      </w:pPr>
      <w:r>
        <w:rPr>
          <w:rFonts w:hint="eastAsia" w:ascii="仿宋_GB2312" w:hAnsi="仿宋_GB2312" w:eastAsia="仿宋_GB2312" w:cs="仿宋_GB2312"/>
          <w:b/>
          <w:bCs/>
          <w:color w:val="auto"/>
          <w:spacing w:val="-6"/>
          <w:sz w:val="32"/>
          <w:szCs w:val="32"/>
          <w:lang w:val="en-US" w:eastAsia="zh-CN"/>
        </w:rPr>
        <w:t>七是</w:t>
      </w:r>
      <w:r>
        <w:rPr>
          <w:rFonts w:hint="eastAsia" w:ascii="仿宋_GB2312" w:hAnsi="仿宋_GB2312" w:eastAsia="仿宋_GB2312" w:cs="仿宋_GB2312"/>
          <w:b w:val="0"/>
          <w:bCs w:val="0"/>
          <w:color w:val="auto"/>
          <w:spacing w:val="-6"/>
          <w:sz w:val="32"/>
          <w:szCs w:val="32"/>
          <w:lang w:val="en-US" w:eastAsia="zh-CN"/>
        </w:rPr>
        <w:t>加强涉爆违法犯罪线索摸排、打击涉爆违法犯罪工作情况。</w:t>
      </w:r>
    </w:p>
    <w:p>
      <w:pPr>
        <w:pStyle w:val="8"/>
        <w:keepNext w:val="0"/>
        <w:keepLines w:val="0"/>
        <w:pageBreakBefore w:val="0"/>
        <w:kinsoku/>
        <w:overflowPunct/>
        <w:topLinePunct w:val="0"/>
        <w:autoSpaceDE/>
        <w:autoSpaceDN/>
        <w:bidi w:val="0"/>
        <w:spacing w:before="0" w:beforeLines="0" w:line="600" w:lineRule="exact"/>
        <w:ind w:left="0" w:leftChars="0"/>
      </w:pPr>
    </w:p>
    <w:sectPr>
      <w:footerReference r:id="rId3" w:type="default"/>
      <w:pgSz w:w="11906" w:h="16838"/>
      <w:pgMar w:top="2098" w:right="1247"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lang w:eastAsia="zh-CN"/>
                            </w:rPr>
                            <w:t>1</w:t>
                          </w:r>
                          <w:r>
                            <w:rPr>
                              <w:rFonts w:hint="eastAsia" w:asciiTheme="majorEastAsia" w:hAnsiTheme="majorEastAsia" w:eastAsiaTheme="majorEastAsia" w:cstheme="maj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lang w:eastAsia="zh-CN"/>
                      </w:rPr>
                      <w:t>1</w:t>
                    </w:r>
                    <w:r>
                      <w:rPr>
                        <w:rFonts w:hint="eastAsia" w:asciiTheme="majorEastAsia" w:hAnsiTheme="majorEastAsia" w:eastAsiaTheme="majorEastAsia" w:cstheme="maj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jYzMzMjFkMWIzOTA0ZWE3Mjc3ZTkwNTFmZWFhMmIifQ=="/>
  </w:docVars>
  <w:rsids>
    <w:rsidRoot w:val="5C42569F"/>
    <w:rsid w:val="003F38E4"/>
    <w:rsid w:val="02021905"/>
    <w:rsid w:val="0278520F"/>
    <w:rsid w:val="03653EFA"/>
    <w:rsid w:val="038B3165"/>
    <w:rsid w:val="03A2514E"/>
    <w:rsid w:val="03F22A0B"/>
    <w:rsid w:val="058F34B0"/>
    <w:rsid w:val="07EA5D23"/>
    <w:rsid w:val="08752478"/>
    <w:rsid w:val="095B26FD"/>
    <w:rsid w:val="09BA299F"/>
    <w:rsid w:val="09FE17B7"/>
    <w:rsid w:val="0A0A75A9"/>
    <w:rsid w:val="0A8E331D"/>
    <w:rsid w:val="0AD7341F"/>
    <w:rsid w:val="0AF04AB4"/>
    <w:rsid w:val="0CD54D9D"/>
    <w:rsid w:val="0E686B6D"/>
    <w:rsid w:val="0E7D4F92"/>
    <w:rsid w:val="0EC435DF"/>
    <w:rsid w:val="0F407486"/>
    <w:rsid w:val="0FB06857"/>
    <w:rsid w:val="101712ED"/>
    <w:rsid w:val="10E63DD4"/>
    <w:rsid w:val="11775653"/>
    <w:rsid w:val="11C00421"/>
    <w:rsid w:val="125375BF"/>
    <w:rsid w:val="12F9465F"/>
    <w:rsid w:val="14142E4D"/>
    <w:rsid w:val="14355152"/>
    <w:rsid w:val="17190038"/>
    <w:rsid w:val="17400531"/>
    <w:rsid w:val="175B7591"/>
    <w:rsid w:val="180B0F96"/>
    <w:rsid w:val="19DB0058"/>
    <w:rsid w:val="19DF7F1A"/>
    <w:rsid w:val="1BBE70C8"/>
    <w:rsid w:val="1C2608C8"/>
    <w:rsid w:val="1C602A61"/>
    <w:rsid w:val="1D2F6936"/>
    <w:rsid w:val="1DE21C1C"/>
    <w:rsid w:val="1EE77B24"/>
    <w:rsid w:val="20E31698"/>
    <w:rsid w:val="215B6276"/>
    <w:rsid w:val="22250FCC"/>
    <w:rsid w:val="228E449B"/>
    <w:rsid w:val="239E7319"/>
    <w:rsid w:val="245F1650"/>
    <w:rsid w:val="25A77F4A"/>
    <w:rsid w:val="26630315"/>
    <w:rsid w:val="267F67D1"/>
    <w:rsid w:val="27047E23"/>
    <w:rsid w:val="2753461A"/>
    <w:rsid w:val="293520ED"/>
    <w:rsid w:val="2984482A"/>
    <w:rsid w:val="2A14038D"/>
    <w:rsid w:val="2A6266F2"/>
    <w:rsid w:val="2B1D4D88"/>
    <w:rsid w:val="2B8D5DB2"/>
    <w:rsid w:val="2D8867FD"/>
    <w:rsid w:val="2E4E18AB"/>
    <w:rsid w:val="2E6923AB"/>
    <w:rsid w:val="2EA00FE3"/>
    <w:rsid w:val="2F77256D"/>
    <w:rsid w:val="30D9606A"/>
    <w:rsid w:val="30F85AFE"/>
    <w:rsid w:val="3440156B"/>
    <w:rsid w:val="34497927"/>
    <w:rsid w:val="34A2025B"/>
    <w:rsid w:val="36F96127"/>
    <w:rsid w:val="377C3731"/>
    <w:rsid w:val="37A74370"/>
    <w:rsid w:val="38E86458"/>
    <w:rsid w:val="392F491D"/>
    <w:rsid w:val="39F22C4F"/>
    <w:rsid w:val="39F81EAF"/>
    <w:rsid w:val="3A812D77"/>
    <w:rsid w:val="3AEE7DE7"/>
    <w:rsid w:val="3BB865B6"/>
    <w:rsid w:val="3C392F40"/>
    <w:rsid w:val="3CFB763B"/>
    <w:rsid w:val="3E655B51"/>
    <w:rsid w:val="3ECD4126"/>
    <w:rsid w:val="3F6A4034"/>
    <w:rsid w:val="3FA6268D"/>
    <w:rsid w:val="3FB5178A"/>
    <w:rsid w:val="3FBB6674"/>
    <w:rsid w:val="41406E31"/>
    <w:rsid w:val="424C44A0"/>
    <w:rsid w:val="42734FE4"/>
    <w:rsid w:val="42A31D6D"/>
    <w:rsid w:val="4363006F"/>
    <w:rsid w:val="475F1D8C"/>
    <w:rsid w:val="47D22BC7"/>
    <w:rsid w:val="48825A47"/>
    <w:rsid w:val="48FB6EA2"/>
    <w:rsid w:val="490525B3"/>
    <w:rsid w:val="4997621F"/>
    <w:rsid w:val="49E07403"/>
    <w:rsid w:val="4A331178"/>
    <w:rsid w:val="4B34391F"/>
    <w:rsid w:val="4B9337C1"/>
    <w:rsid w:val="4C0F3FD0"/>
    <w:rsid w:val="4D9218E1"/>
    <w:rsid w:val="50836D3A"/>
    <w:rsid w:val="50C555A5"/>
    <w:rsid w:val="50EF3B3E"/>
    <w:rsid w:val="51782617"/>
    <w:rsid w:val="52C26506"/>
    <w:rsid w:val="53DB6E8D"/>
    <w:rsid w:val="53FA7FA7"/>
    <w:rsid w:val="5494707E"/>
    <w:rsid w:val="54BF17C1"/>
    <w:rsid w:val="567B2473"/>
    <w:rsid w:val="57CE1A42"/>
    <w:rsid w:val="58562F86"/>
    <w:rsid w:val="588A0B15"/>
    <w:rsid w:val="5A7F784F"/>
    <w:rsid w:val="5C2018E1"/>
    <w:rsid w:val="5C42569F"/>
    <w:rsid w:val="5C8C216F"/>
    <w:rsid w:val="5D331807"/>
    <w:rsid w:val="5DDB6408"/>
    <w:rsid w:val="5EF60DEE"/>
    <w:rsid w:val="5FA70F5E"/>
    <w:rsid w:val="644F1CB2"/>
    <w:rsid w:val="64CE2822"/>
    <w:rsid w:val="64D848B8"/>
    <w:rsid w:val="65E8790A"/>
    <w:rsid w:val="66C11F13"/>
    <w:rsid w:val="67860617"/>
    <w:rsid w:val="682B003E"/>
    <w:rsid w:val="68BB62BE"/>
    <w:rsid w:val="68FB5B98"/>
    <w:rsid w:val="69085BD7"/>
    <w:rsid w:val="6C203A58"/>
    <w:rsid w:val="6D851EEC"/>
    <w:rsid w:val="6F841759"/>
    <w:rsid w:val="70205EFC"/>
    <w:rsid w:val="70425E72"/>
    <w:rsid w:val="70ED4496"/>
    <w:rsid w:val="710175CA"/>
    <w:rsid w:val="71C34D91"/>
    <w:rsid w:val="71E865E8"/>
    <w:rsid w:val="73404104"/>
    <w:rsid w:val="73F95EC3"/>
    <w:rsid w:val="748C068B"/>
    <w:rsid w:val="75932BC5"/>
    <w:rsid w:val="764F4420"/>
    <w:rsid w:val="773407DF"/>
    <w:rsid w:val="789B64FE"/>
    <w:rsid w:val="7C7F1785"/>
    <w:rsid w:val="7D0C1750"/>
    <w:rsid w:val="7DB22425"/>
    <w:rsid w:val="7ED11F01"/>
    <w:rsid w:val="7F0E15C3"/>
    <w:rsid w:val="7F9F6E3D"/>
    <w:rsid w:val="7FD91C23"/>
    <w:rsid w:val="7FFB0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BodyText1I2"/>
    <w:basedOn w:val="3"/>
    <w:qFormat/>
    <w:uiPriority w:val="0"/>
    <w:pPr>
      <w:widowControl/>
      <w:spacing w:after="120"/>
      <w:ind w:left="420" w:leftChars="200" w:firstLine="420" w:firstLineChars="200"/>
      <w:jc w:val="both"/>
      <w:textAlignment w:val="baseline"/>
    </w:pPr>
  </w:style>
  <w:style w:type="paragraph" w:customStyle="1" w:styleId="3">
    <w:name w:val="BodyTextIndent"/>
    <w:basedOn w:val="1"/>
    <w:qFormat/>
    <w:uiPriority w:val="0"/>
    <w:pPr>
      <w:spacing w:after="120"/>
      <w:ind w:left="420" w:leftChars="200"/>
      <w:jc w:val="both"/>
      <w:textAlignment w:val="baseline"/>
    </w:pPr>
  </w:style>
  <w:style w:type="paragraph" w:styleId="4">
    <w:name w:val="Body Text"/>
    <w:basedOn w:val="1"/>
    <w:qFormat/>
    <w:uiPriority w:val="1"/>
    <w:pPr>
      <w:widowControl w:val="0"/>
      <w:autoSpaceDE w:val="0"/>
      <w:autoSpaceDN w:val="0"/>
      <w:spacing w:before="0" w:after="0" w:line="240" w:lineRule="auto"/>
      <w:ind w:left="0" w:right="0"/>
      <w:jc w:val="left"/>
    </w:pPr>
    <w:rPr>
      <w:rFonts w:ascii="仿宋_GB2312" w:hAnsi="仿宋_GB2312" w:eastAsia="仿宋_GB2312" w:cs="仿宋_GB2312"/>
      <w:sz w:val="32"/>
      <w:szCs w:val="32"/>
      <w:lang w:val="en-US" w:eastAsia="en-US" w:bidi="ar-SA"/>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next w:val="1"/>
    <w:qFormat/>
    <w:uiPriority w:val="0"/>
    <w:pPr>
      <w:jc w:val="left"/>
    </w:pPr>
    <w:rPr>
      <w:kern w:val="0"/>
      <w:sz w:val="24"/>
    </w:rPr>
  </w:style>
  <w:style w:type="paragraph" w:styleId="8">
    <w:name w:val="Title"/>
    <w:basedOn w:val="1"/>
    <w:next w:val="1"/>
    <w:qFormat/>
    <w:uiPriority w:val="0"/>
    <w:pPr>
      <w:spacing w:before="0" w:beforeLines="0" w:beforeAutospacing="0" w:afterAutospacing="0"/>
      <w:jc w:val="left"/>
      <w:outlineLvl w:val="0"/>
    </w:pPr>
    <w:rPr>
      <w:rFonts w:ascii="Arial" w:hAnsi="Arial"/>
    </w:rPr>
  </w:style>
  <w:style w:type="character" w:styleId="11">
    <w:name w:val="Emphasis"/>
    <w:basedOn w:val="10"/>
    <w:qFormat/>
    <w:uiPriority w:val="0"/>
    <w:rPr>
      <w:i/>
    </w:rPr>
  </w:style>
  <w:style w:type="paragraph" w:customStyle="1" w:styleId="12">
    <w:name w:val="正文首行缩进 21"/>
    <w:basedOn w:val="13"/>
    <w:next w:val="7"/>
    <w:qFormat/>
    <w:uiPriority w:val="0"/>
    <w:pPr>
      <w:widowControl/>
      <w:ind w:firstLine="200" w:firstLineChars="200"/>
      <w:jc w:val="left"/>
    </w:pPr>
    <w:rPr>
      <w:rFonts w:ascii="Calibri" w:hAnsi="Calibri" w:eastAsia="仿宋_GB2312" w:cs="Calibri"/>
      <w:kern w:val="0"/>
      <w:sz w:val="24"/>
      <w:szCs w:val="24"/>
    </w:rPr>
  </w:style>
  <w:style w:type="paragraph" w:customStyle="1" w:styleId="13">
    <w:name w:val="正文文本缩进1"/>
    <w:basedOn w:val="1"/>
    <w:qFormat/>
    <w:uiPriority w:val="0"/>
    <w:pPr>
      <w:ind w:left="200" w:leftChars="200"/>
    </w:pPr>
    <w:rPr>
      <w:rFonts w:ascii="Calibri" w:hAnsi="Calibri" w:eastAsia="宋体" w:cs="Times New Roman"/>
    </w:rPr>
  </w:style>
  <w:style w:type="paragraph" w:customStyle="1" w:styleId="14">
    <w:name w:val="BodyText"/>
    <w:basedOn w:val="1"/>
    <w:qFormat/>
    <w:uiPriority w:val="0"/>
  </w:style>
  <w:style w:type="paragraph" w:customStyle="1" w:styleId="15">
    <w:name w:val="Normal (Web)"/>
    <w:basedOn w:val="1"/>
    <w:next w:val="1"/>
    <w:qFormat/>
    <w:uiPriority w:val="0"/>
    <w:pPr>
      <w:spacing w:before="0" w:beforeLines="0" w:beforeAutospacing="0" w:after="0" w:afterLines="0" w:afterAutospacing="0"/>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7287</Words>
  <Characters>7393</Characters>
  <Lines>0</Lines>
  <Paragraphs>0</Paragraphs>
  <TotalTime>409</TotalTime>
  <ScaleCrop>false</ScaleCrop>
  <LinksUpToDate>false</LinksUpToDate>
  <CharactersWithSpaces>7530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2022-11-28T03:35:00Z</dcterms:created>
  <dc:creator>100</dc:creator>
  <cp:lastModifiedBy>hp</cp:lastModifiedBy>
  <cp:lastPrinted>2022-12-12T08:14:00Z</cp:lastPrinted>
  <dcterms:modified xsi:type="dcterms:W3CDTF">2023-12-05T01:50:12Z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9B27425E22454523BCCE48283666126D</vt:lpwstr>
  </property>
</Properties>
</file>