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黑体" w:hAnsi="黑体" w:eastAsia="黑体" w:cs="仿宋_GB2312"/>
          <w:color w:val="000000" w:themeColor="text1"/>
          <w:kern w:val="0"/>
          <w:sz w:val="32"/>
          <w:szCs w:val="32"/>
          <w14:textFill>
            <w14:solidFill>
              <w14:schemeClr w14:val="tx1"/>
            </w14:solidFill>
          </w14:textFill>
        </w:rPr>
      </w:pPr>
      <w:bookmarkStart w:id="0" w:name="_GoBack"/>
      <w:r>
        <w:rPr>
          <w:rFonts w:hint="eastAsia" w:ascii="黑体" w:hAnsi="黑体" w:eastAsia="黑体" w:cs="仿宋_GB2312"/>
          <w:color w:val="000000" w:themeColor="text1"/>
          <w:kern w:val="0"/>
          <w:sz w:val="32"/>
          <w:szCs w:val="32"/>
          <w14:textFill>
            <w14:solidFill>
              <w14:schemeClr w14:val="tx1"/>
            </w14:solidFill>
          </w14:textFill>
        </w:rPr>
        <w:t>附件1</w:t>
      </w:r>
    </w:p>
    <w:p>
      <w:pPr>
        <w:spacing w:line="300" w:lineRule="exact"/>
        <w:rPr>
          <w:rFonts w:ascii="黑体" w:hAnsi="黑体" w:eastAsia="黑体" w:cs="仿宋_GB2312"/>
          <w:color w:val="000000" w:themeColor="text1"/>
          <w:kern w:val="0"/>
          <w:sz w:val="32"/>
          <w:szCs w:val="32"/>
          <w14:textFill>
            <w14:solidFill>
              <w14:schemeClr w14:val="tx1"/>
            </w14:solidFill>
          </w14:textFill>
        </w:rPr>
      </w:pPr>
    </w:p>
    <w:p>
      <w:pPr>
        <w:spacing w:line="420" w:lineRule="exact"/>
        <w:jc w:val="center"/>
        <w:rPr>
          <w:rFonts w:ascii="方正小标宋简体" w:hAnsi="黑体" w:eastAsia="方正小标宋简体" w:cs="仿宋_GB2312"/>
          <w:color w:val="000000" w:themeColor="text1"/>
          <w:kern w:val="0"/>
          <w:sz w:val="36"/>
          <w:szCs w:val="36"/>
          <w14:textFill>
            <w14:solidFill>
              <w14:schemeClr w14:val="tx1"/>
            </w14:solidFill>
          </w14:textFill>
        </w:rPr>
      </w:pPr>
      <w:r>
        <w:rPr>
          <w:rFonts w:hint="eastAsia" w:ascii="方正小标宋简体" w:hAnsi="黑体" w:eastAsia="方正小标宋简体" w:cs="仿宋_GB2312"/>
          <w:color w:val="000000" w:themeColor="text1"/>
          <w:kern w:val="0"/>
          <w:sz w:val="36"/>
          <w:szCs w:val="36"/>
          <w:lang w:val="en-US" w:eastAsia="zh-CN"/>
          <w14:textFill>
            <w14:solidFill>
              <w14:schemeClr w14:val="tx1"/>
            </w14:solidFill>
          </w14:textFill>
        </w:rPr>
        <w:t>高平市</w:t>
      </w:r>
      <w:r>
        <w:rPr>
          <w:rFonts w:hint="eastAsia" w:ascii="方正小标宋简体" w:hAnsi="黑体" w:eastAsia="方正小标宋简体" w:cs="仿宋_GB2312"/>
          <w:color w:val="000000" w:themeColor="text1"/>
          <w:kern w:val="0"/>
          <w:sz w:val="36"/>
          <w:szCs w:val="36"/>
          <w14:textFill>
            <w14:solidFill>
              <w14:schemeClr w14:val="tx1"/>
            </w14:solidFill>
          </w14:textFill>
        </w:rPr>
        <w:t>危险化学品等企业安全风险隐患排查整治集中行动督查检查表</w:t>
      </w:r>
    </w:p>
    <w:bookmarkEnd w:id="0"/>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575"/>
        <w:gridCol w:w="843"/>
        <w:gridCol w:w="5386"/>
        <w:gridCol w:w="1433"/>
        <w:gridCol w:w="1576"/>
        <w:gridCol w:w="38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92"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企业名称</w:t>
            </w:r>
          </w:p>
        </w:tc>
        <w:tc>
          <w:tcPr>
            <w:tcW w:w="6229"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p>
        </w:tc>
        <w:tc>
          <w:tcPr>
            <w:tcW w:w="1433" w:type="dxa"/>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企业地址</w:t>
            </w:r>
          </w:p>
        </w:tc>
        <w:tc>
          <w:tcPr>
            <w:tcW w:w="5464"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92"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检查人员</w:t>
            </w:r>
          </w:p>
        </w:tc>
        <w:tc>
          <w:tcPr>
            <w:tcW w:w="6229"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p>
        </w:tc>
        <w:tc>
          <w:tcPr>
            <w:tcW w:w="1433" w:type="dxa"/>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检查日期</w:t>
            </w:r>
          </w:p>
        </w:tc>
        <w:tc>
          <w:tcPr>
            <w:tcW w:w="5464"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序号</w:t>
            </w:r>
          </w:p>
        </w:tc>
        <w:tc>
          <w:tcPr>
            <w:tcW w:w="1418"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检查项目</w:t>
            </w:r>
          </w:p>
        </w:tc>
        <w:tc>
          <w:tcPr>
            <w:tcW w:w="8395" w:type="dxa"/>
            <w:gridSpan w:val="3"/>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检查内容</w:t>
            </w:r>
          </w:p>
        </w:tc>
        <w:tc>
          <w:tcPr>
            <w:tcW w:w="3888" w:type="dxa"/>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检查情况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w:t>
            </w:r>
          </w:p>
        </w:tc>
        <w:tc>
          <w:tcPr>
            <w:tcW w:w="1418" w:type="dxa"/>
            <w:gridSpan w:val="2"/>
            <w:vMerge w:val="restart"/>
            <w:vAlign w:val="center"/>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危险化学品企业特殊作业安全管理规范落实情况</w:t>
            </w: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是否按照《危险化学品企业特殊作业安全管理规范》(GB30871-2022）修订完善相关安全管理制度和操作规程。</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2</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是否对辽宁省盘锦浩业化工有限公司“1</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黑体" w:eastAsia="仿宋_GB2312" w:cs="仿宋_GB2312"/>
                <w:color w:val="000000" w:themeColor="text1"/>
                <w:kern w:val="0"/>
                <w:sz w:val="28"/>
                <w:szCs w:val="28"/>
                <w14:textFill>
                  <w14:solidFill>
                    <w14:schemeClr w14:val="tx1"/>
                  </w14:solidFill>
                </w14:textFill>
              </w:rPr>
              <w:t>15”重大着火事故、临汾市蔺鑫煤焦化公司“2</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黑体" w:eastAsia="仿宋_GB2312" w:cs="仿宋_GB2312"/>
                <w:color w:val="000000" w:themeColor="text1"/>
                <w:kern w:val="0"/>
                <w:sz w:val="28"/>
                <w:szCs w:val="28"/>
                <w14:textFill>
                  <w14:solidFill>
                    <w14:schemeClr w14:val="tx1"/>
                  </w14:solidFill>
                </w14:textFill>
              </w:rPr>
              <w:t>2”窒息事故等事故开展事故警示教育，是否对新修订的特殊作业制度规程进行教育培训并考核。</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3</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特殊作业涉及的特种作业和特种设备作业人员是否取得相应资格证书并持证上岗。</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4</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特殊作业前，是否进行危险有害因素辨识、开展作业危害分析、进行气体分析并合格、制定相应的安全风险管控措施。</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5</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vAlign w:val="center"/>
          </w:tcPr>
          <w:p>
            <w:pPr>
              <w:spacing w:line="360" w:lineRule="exact"/>
              <w:jc w:val="lef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是否按规定办理作业票证，作业票证填写是否规范。</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6</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特殊作业期间，是否设置监护人，是否经专项培训考试合格，是否佩戴明显标识并持培训合格证上岗，是否履行监护人职责。</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7</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特殊作业期间，是否按要求配备气体检测设备、影像采集设备，是否落实相关作业可燃气体、有毒气体及氧气浓度连续检测。</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bl>
    <w:p>
      <w:pPr>
        <w:spacing w:line="360" w:lineRule="exact"/>
        <w:jc w:val="center"/>
        <w:rPr>
          <w:rFonts w:hint="eastAsia" w:ascii="仿宋_GB2312" w:hAnsi="黑体" w:eastAsia="仿宋_GB2312" w:cs="仿宋_GB2312"/>
          <w:color w:val="000000" w:themeColor="text1"/>
          <w:kern w:val="0"/>
          <w:sz w:val="28"/>
          <w:szCs w:val="28"/>
          <w14:textFill>
            <w14:solidFill>
              <w14:schemeClr w14:val="tx1"/>
            </w14:solidFill>
          </w14:textFill>
        </w:rPr>
        <w:sectPr>
          <w:pgSz w:w="16838" w:h="11906" w:orient="landscape"/>
          <w:pgMar w:top="1797" w:right="1134" w:bottom="1797" w:left="1134" w:header="851" w:footer="992" w:gutter="0"/>
          <w:pgNumType w:fmt="decimal"/>
          <w:cols w:space="720" w:num="1"/>
          <w:docGrid w:type="lines" w:linePitch="312" w:charSpace="0"/>
        </w:sectPr>
      </w:pP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8"/>
        <w:gridCol w:w="1400"/>
        <w:gridCol w:w="8181"/>
        <w:gridCol w:w="37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8</w:t>
            </w:r>
          </w:p>
        </w:tc>
        <w:tc>
          <w:tcPr>
            <w:tcW w:w="1418" w:type="dxa"/>
            <w:vMerge w:val="restart"/>
            <w:vAlign w:val="center"/>
          </w:tcPr>
          <w:p>
            <w:pPr>
              <w:spacing w:line="360" w:lineRule="exact"/>
              <w:rPr>
                <w:rFonts w:ascii="黑体" w:hAnsi="黑体" w:eastAsia="黑体" w:cs="仿宋_GB2312"/>
                <w:color w:val="000000" w:themeColor="text1"/>
                <w:kern w:val="0"/>
                <w:sz w:val="30"/>
                <w:szCs w:val="30"/>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“反三违”情况</w:t>
            </w:r>
          </w:p>
        </w:tc>
        <w:tc>
          <w:tcPr>
            <w:tcW w:w="8395" w:type="dxa"/>
            <w:vAlign w:val="center"/>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是否制定并下发“反三违”相关工作方案或活动文件。</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9</w:t>
            </w:r>
          </w:p>
        </w:tc>
        <w:tc>
          <w:tcPr>
            <w:tcW w:w="1418" w:type="dxa"/>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是否认真组织开展“反三违”和隐患排查治理活动，对查出的问题是否列入隐患排查治理台账并实现闭环管理。</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10</w:t>
            </w:r>
          </w:p>
        </w:tc>
        <w:tc>
          <w:tcPr>
            <w:tcW w:w="1418" w:type="dxa"/>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vAlign w:val="center"/>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是否制定隐患排查奖励机制和“吹哨人”制度，是否落实奖惩。</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11</w:t>
            </w:r>
          </w:p>
        </w:tc>
        <w:tc>
          <w:tcPr>
            <w:tcW w:w="1418" w:type="dxa"/>
            <w:vMerge w:val="restart"/>
            <w:vAlign w:val="center"/>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重大危险源管控情况</w:t>
            </w:r>
          </w:p>
        </w:tc>
        <w:tc>
          <w:tcPr>
            <w:tcW w:w="8395" w:type="dxa"/>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重大危险源有关监测监控数据是否按要求全部接入全国危险化学品安全生产风险监测预警系统并正常投用，视频监控系统是否24小时处于正常投用状态。</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12</w:t>
            </w:r>
          </w:p>
        </w:tc>
        <w:tc>
          <w:tcPr>
            <w:tcW w:w="1418" w:type="dxa"/>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每一处重大危险源是否明确并落实企业主要负责人、技术负责人、操作负责人包保管控责任，三类包保负责人是否按要求履职。</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13</w:t>
            </w:r>
          </w:p>
        </w:tc>
        <w:tc>
          <w:tcPr>
            <w:tcW w:w="1418" w:type="dxa"/>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危化品储罐是否超温、超压、超液位运行和随意变更储存介质。</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14</w:t>
            </w:r>
          </w:p>
        </w:tc>
        <w:tc>
          <w:tcPr>
            <w:tcW w:w="1418" w:type="dxa"/>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危化品储罐安全阀、切断阀、泄压排放系统和冷却降温设施是否完好且正常投用。</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15</w:t>
            </w:r>
          </w:p>
        </w:tc>
        <w:tc>
          <w:tcPr>
            <w:tcW w:w="1418" w:type="dxa"/>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涉及可燃和有毒有害气体泄漏的场所是否按国家标准、行业标准设置检测报警装置，爆炸危险场所是否按国家标准、行业标准安装使用防爆电气设备。</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16</w:t>
            </w:r>
          </w:p>
        </w:tc>
        <w:tc>
          <w:tcPr>
            <w:tcW w:w="1418" w:type="dxa"/>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构成一级、二级重大危险源的危险化学品罐区是否实现紧急切断功能；涉及毒性气体、液化气体和剧毒液体的一级、二级重大危险源的危险化学品罐区是否配备独立的安全仪表系统。</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5" w:hRule="atLeast"/>
          <w:jc w:val="center"/>
        </w:trPr>
        <w:tc>
          <w:tcPr>
            <w:tcW w:w="14518" w:type="dxa"/>
            <w:gridSpan w:val="4"/>
          </w:tcPr>
          <w:p>
            <w:pPr>
              <w:spacing w:line="4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其他问题：</w:t>
            </w:r>
          </w:p>
          <w:p>
            <w:pPr>
              <w:spacing w:line="460" w:lineRule="exact"/>
              <w:rPr>
                <w:rFonts w:ascii="仿宋_GB2312" w:hAnsi="黑体" w:eastAsia="仿宋_GB2312" w:cs="仿宋_GB2312"/>
                <w:color w:val="000000" w:themeColor="text1"/>
                <w:kern w:val="0"/>
                <w:sz w:val="28"/>
                <w:szCs w:val="28"/>
                <w14:textFill>
                  <w14:solidFill>
                    <w14:schemeClr w14:val="tx1"/>
                  </w14:solidFill>
                </w14:textFill>
              </w:rPr>
            </w:pPr>
          </w:p>
          <w:p>
            <w:pPr>
              <w:spacing w:line="4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 xml:space="preserve">         检查组组长：                                             企业负责人：</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WEzM2I0M2VmOWRjOTgxODZmZDAxMjA3ZjdmOWYifQ=="/>
  </w:docVars>
  <w:rsids>
    <w:rsidRoot w:val="6DBE5840"/>
    <w:rsid w:val="6DBE5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sz w:val="32"/>
    </w:rPr>
  </w:style>
  <w:style w:type="paragraph" w:styleId="3">
    <w:name w:val="Body Text Indent"/>
    <w:basedOn w:val="1"/>
    <w:next w:val="2"/>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Body Text First Indent 2"/>
    <w:basedOn w:val="3"/>
    <w:qFormat/>
    <w:uiPriority w:val="0"/>
    <w:pPr>
      <w:ind w:firstLine="420" w:firstLineChars="200"/>
    </w:p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2023-04-10T07:24:00Z</dcterms:created>
  <dc:creator>牛小雪</dc:creator>
  <cp:lastModifiedBy>牛小雪</cp:lastModifiedBy>
  <dcterms:modified xsi:type="dcterms:W3CDTF">2023-04-10T07:26:51Z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B11D45836C3C42CD9E2483B36B55BD5E_11</vt:lpwstr>
  </property>
</Properties>
</file>