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15D"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394E668F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）环境空气质量同比情况</w:t>
      </w:r>
    </w:p>
    <w:p w14:paraId="7274A741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tbl>
      <w:tblPr>
        <w:tblStyle w:val="3"/>
        <w:tblW w:w="1437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9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  <w:gridCol w:w="894"/>
      </w:tblGrid>
      <w:tr w14:paraId="1F4C8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restart"/>
            <w:noWrap w:val="0"/>
            <w:vAlign w:val="top"/>
          </w:tcPr>
          <w:p w14:paraId="4C6EA189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2FE05F06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序号</w:t>
            </w:r>
          </w:p>
        </w:tc>
        <w:tc>
          <w:tcPr>
            <w:tcW w:w="592" w:type="dxa"/>
            <w:vMerge w:val="restart"/>
            <w:noWrap w:val="0"/>
            <w:vAlign w:val="top"/>
          </w:tcPr>
          <w:p w14:paraId="4316EB8C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eastAsia="仿宋"/>
                <w:b/>
                <w:sz w:val="21"/>
              </w:rPr>
            </w:pPr>
          </w:p>
          <w:p w14:paraId="4FD9068B">
            <w:pPr>
              <w:pStyle w:val="5"/>
              <w:spacing w:before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eastAsia="仿宋"/>
                <w:b/>
                <w:sz w:val="21"/>
              </w:rPr>
              <w:t>乡镇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40A3551F">
            <w:pPr>
              <w:pStyle w:val="5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10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72D2DF8B">
            <w:pPr>
              <w:pStyle w:val="5"/>
              <w:spacing w:before="134"/>
              <w:ind w:left="593" w:leftChars="0" w:right="0" w:rightChars="0"/>
              <w:jc w:val="left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PM</w:t>
            </w:r>
            <w:r>
              <w:rPr>
                <w:b/>
                <w:sz w:val="21"/>
                <w:vertAlign w:val="subscript"/>
              </w:rPr>
              <w:t>2.5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1C0DF9A5">
            <w:pPr>
              <w:pStyle w:val="5"/>
              <w:spacing w:before="134"/>
              <w:ind w:left="583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SO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C126A5E">
            <w:pPr>
              <w:pStyle w:val="5"/>
              <w:spacing w:before="134"/>
              <w:ind w:left="587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NO</w:t>
            </w:r>
            <w:r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28DBD05F">
            <w:pPr>
              <w:pStyle w:val="5"/>
              <w:spacing w:before="134"/>
              <w:ind w:left="585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1768" w:type="dxa"/>
            <w:gridSpan w:val="2"/>
            <w:noWrap w:val="0"/>
            <w:vAlign w:val="top"/>
          </w:tcPr>
          <w:p w14:paraId="0F769904">
            <w:pPr>
              <w:pStyle w:val="5"/>
              <w:spacing w:before="134"/>
              <w:ind w:left="588" w:leftChars="0" w:right="569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O</w:t>
            </w:r>
            <w:r>
              <w:rPr>
                <w:b/>
                <w:sz w:val="21"/>
                <w:vertAlign w:val="subscript"/>
              </w:rPr>
              <w:t>3</w:t>
            </w:r>
            <w:r>
              <w:rPr>
                <w:b/>
                <w:sz w:val="21"/>
              </w:rPr>
              <w:t>-8h</w:t>
            </w:r>
          </w:p>
        </w:tc>
        <w:tc>
          <w:tcPr>
            <w:tcW w:w="2662" w:type="dxa"/>
            <w:gridSpan w:val="3"/>
            <w:noWrap w:val="0"/>
            <w:vAlign w:val="top"/>
          </w:tcPr>
          <w:p w14:paraId="77672CF9">
            <w:pPr>
              <w:pStyle w:val="5"/>
              <w:spacing w:before="120"/>
              <w:ind w:left="895" w:leftChars="0" w:right="872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综合指数</w:t>
            </w:r>
          </w:p>
        </w:tc>
      </w:tr>
      <w:tr w14:paraId="2CA79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  <w:noWrap w:val="0"/>
            <w:vAlign w:val="top"/>
          </w:tcPr>
          <w:p w14:paraId="4026CDED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</w:tcBorders>
            <w:noWrap w:val="0"/>
            <w:vAlign w:val="top"/>
          </w:tcPr>
          <w:p w14:paraId="659B55B9">
            <w:pPr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</w:p>
        </w:tc>
        <w:tc>
          <w:tcPr>
            <w:tcW w:w="884" w:type="dxa"/>
            <w:noWrap w:val="0"/>
            <w:vAlign w:val="top"/>
          </w:tcPr>
          <w:p w14:paraId="5571A28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22259063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45F394B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19241FB5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25BD672F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09D67AA7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38F966A4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2C50666E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553A6C4F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4D8D152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5DF85845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06096E5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84" w:type="dxa"/>
            <w:noWrap w:val="0"/>
            <w:vAlign w:val="top"/>
          </w:tcPr>
          <w:p w14:paraId="35D3233D">
            <w:pPr>
              <w:pStyle w:val="5"/>
              <w:spacing w:before="132"/>
              <w:ind w:left="215" w:leftChars="0"/>
              <w:jc w:val="both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b/>
                <w:sz w:val="21"/>
              </w:rPr>
              <w:t>20</w:t>
            </w:r>
            <w:r>
              <w:rPr>
                <w:rFonts w:hint="eastAsia" w:eastAsia="宋体"/>
                <w:b/>
                <w:sz w:val="21"/>
                <w:lang w:val="en-US" w:eastAsia="zh-CN"/>
              </w:rPr>
              <w:t>24</w:t>
            </w:r>
          </w:p>
        </w:tc>
        <w:tc>
          <w:tcPr>
            <w:tcW w:w="884" w:type="dxa"/>
            <w:noWrap w:val="0"/>
            <w:vAlign w:val="top"/>
          </w:tcPr>
          <w:p w14:paraId="33F0C14F">
            <w:pPr>
              <w:pStyle w:val="5"/>
              <w:spacing w:before="132"/>
              <w:ind w:left="215" w:leftChars="0" w:right="197" w:rightChars="0"/>
              <w:rPr>
                <w:rFonts w:hint="eastAsia" w:ascii="仿宋" w:hAnsi="仿宋" w:eastAsia="仿宋" w:cs="仿宋"/>
                <w:b w:val="0"/>
                <w:bCs/>
                <w:w w:val="95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2023</w:t>
            </w:r>
          </w:p>
        </w:tc>
        <w:tc>
          <w:tcPr>
            <w:tcW w:w="894" w:type="dxa"/>
            <w:noWrap w:val="0"/>
            <w:vAlign w:val="top"/>
          </w:tcPr>
          <w:p w14:paraId="779611E5">
            <w:pPr>
              <w:pStyle w:val="5"/>
              <w:spacing w:before="118"/>
              <w:ind w:left="114" w:leftChars="0" w:right="97" w:rightChars="0"/>
              <w:rPr>
                <w:rFonts w:hint="eastAsia" w:ascii="仿宋" w:hAnsi="仿宋" w:eastAsia="仿宋" w:cs="仿宋"/>
                <w:b w:val="0"/>
                <w:bCs/>
                <w:w w:val="95"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同比率</w:t>
            </w:r>
          </w:p>
        </w:tc>
      </w:tr>
      <w:tr w14:paraId="6DED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2E7A6F1D">
            <w:pPr>
              <w:pStyle w:val="5"/>
              <w:ind w:left="12" w:leftChars="0" w:right="0" w:rightChars="0"/>
              <w:rPr>
                <w:rFonts w:hint="eastAsia"/>
                <w:b w:val="0"/>
                <w:bCs/>
                <w:w w:val="95"/>
                <w:sz w:val="21"/>
              </w:rPr>
            </w:pP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28B0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4F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AF3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2F2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E4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361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FB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01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582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838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F57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0A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71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C6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12EC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-16.2%</w:t>
            </w:r>
          </w:p>
        </w:tc>
      </w:tr>
      <w:tr w14:paraId="28DBA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A9E95B7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 w:val="0"/>
                <w:bCs/>
                <w:w w:val="95"/>
                <w:sz w:val="21"/>
                <w:lang w:eastAsia="zh-CN"/>
              </w:rPr>
            </w:pP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44E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神农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03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66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BB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5A2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5A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02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E4F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287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2C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9B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DBF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98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C82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95D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537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-7.3%</w:t>
            </w:r>
          </w:p>
        </w:tc>
      </w:tr>
      <w:tr w14:paraId="2E184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4EABF5B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30CD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76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4B0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1F4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9E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ED7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6C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F4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EC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5F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88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78A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B2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10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2E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BEB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-14.0%</w:t>
            </w:r>
          </w:p>
        </w:tc>
      </w:tr>
      <w:tr w14:paraId="7966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3E7883E9">
            <w:pPr>
              <w:pStyle w:val="5"/>
              <w:ind w:left="12" w:leftChars="0" w:right="0" w:rightChars="0"/>
              <w:rPr>
                <w:rFonts w:hint="eastAsia" w:eastAsia="宋体"/>
                <w:b w:val="0"/>
                <w:bCs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4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01E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北城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79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201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1C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B44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99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3E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58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B1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942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47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10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003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9A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5C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72E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-5.5%</w:t>
            </w:r>
          </w:p>
        </w:tc>
      </w:tr>
      <w:tr w14:paraId="44D26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E072592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5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7A3E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寺庄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13B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8C3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7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745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DC0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816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CF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E3F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109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585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BF3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43E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09F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CEE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4.84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58E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-10.3%</w:t>
            </w:r>
          </w:p>
        </w:tc>
      </w:tr>
      <w:tr w14:paraId="0C8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7A7DE61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6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3FE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北诗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B66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4B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4A9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E9B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12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350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5F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63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AF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F4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EA7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16D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54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7B0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4.75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2F9A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-4.0%</w:t>
            </w:r>
          </w:p>
        </w:tc>
      </w:tr>
      <w:tr w14:paraId="61EE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629EB418">
            <w:pPr>
              <w:pStyle w:val="5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7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0AD4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石末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60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87C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8E2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45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763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8BF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8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0EC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23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D9D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3CC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C4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18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C7E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3AEC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-4.2%</w:t>
            </w:r>
          </w:p>
        </w:tc>
      </w:tr>
      <w:tr w14:paraId="1DCC1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4F560F8E">
            <w:pPr>
              <w:pStyle w:val="5"/>
              <w:spacing w:before="134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8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460E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陈区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6CF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3B9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04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164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D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07F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DB5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4A1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8F4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9EC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1D1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003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FDB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5E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4230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-8.5%</w:t>
            </w:r>
          </w:p>
        </w:tc>
      </w:tr>
      <w:tr w14:paraId="0560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shd w:val="clear" w:color="auto" w:fill="auto"/>
            <w:noWrap w:val="0"/>
            <w:vAlign w:val="top"/>
          </w:tcPr>
          <w:p w14:paraId="13E72F1B">
            <w:pPr>
              <w:pStyle w:val="5"/>
              <w:spacing w:before="132"/>
              <w:ind w:left="12" w:leftChars="0" w:right="0" w:righ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b/>
                <w:w w:val="95"/>
                <w:sz w:val="21"/>
              </w:rPr>
              <w:t>9</w:t>
            </w:r>
          </w:p>
        </w:tc>
        <w:tc>
          <w:tcPr>
            <w:tcW w:w="592" w:type="dxa"/>
            <w:shd w:val="clear" w:color="auto" w:fill="auto"/>
            <w:noWrap w:val="0"/>
            <w:vAlign w:val="center"/>
          </w:tcPr>
          <w:p w14:paraId="5686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5AA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DDD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03F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FC0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4C8D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7A94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2CEF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AFC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5B74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234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6B4F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0607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1532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5.41 </w:t>
            </w:r>
          </w:p>
        </w:tc>
        <w:tc>
          <w:tcPr>
            <w:tcW w:w="884" w:type="dxa"/>
            <w:shd w:val="clear" w:color="auto" w:fill="FFFFFF" w:themeFill="background1"/>
            <w:noWrap w:val="0"/>
            <w:vAlign w:val="center"/>
          </w:tcPr>
          <w:p w14:paraId="3CA3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894" w:type="dxa"/>
            <w:shd w:val="clear" w:color="auto" w:fill="FFFFFF" w:themeFill="background1"/>
            <w:noWrap w:val="0"/>
            <w:vAlign w:val="center"/>
          </w:tcPr>
          <w:p w14:paraId="0847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w w:val="95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-10.3%</w:t>
            </w:r>
          </w:p>
        </w:tc>
      </w:tr>
    </w:tbl>
    <w:p w14:paraId="3F17C470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E57501D">
      <w:pPr>
        <w:ind w:left="720" w:hanging="720" w:hangingChars="3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134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20" w:charSpace="0"/>
        </w:sect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备注：1、除 CO 浓度单位为 mg/m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,其余污染物浓度单位为μg/m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;变化率以%表示；同比变化率正值表示同比恶化，负值表示同比好转。2、综合指数相同时按照三项污染物（PM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、SO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、</w:t>
      </w:r>
      <w:r>
        <w:rPr>
          <w:b w:val="0"/>
          <w:bCs/>
          <w:sz w:val="21"/>
        </w:rPr>
        <w:t>O</w:t>
      </w:r>
      <w:r>
        <w:rPr>
          <w:b w:val="0"/>
          <w:bCs/>
          <w:sz w:val="21"/>
          <w:vertAlign w:val="subscript"/>
        </w:rPr>
        <w:t>3</w:t>
      </w:r>
      <w:r>
        <w:rPr>
          <w:b w:val="0"/>
          <w:bCs/>
          <w:sz w:val="21"/>
        </w:rPr>
        <w:t>-8h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）单项指数加和进行排序。</w:t>
      </w:r>
    </w:p>
    <w:p w14:paraId="4EFD5C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32FA2"/>
    <w:rsid w:val="0773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2025-02-17T03:18:00Z</dcterms:created>
  <dc:creator>槲寄生</dc:creator>
  <cp:lastModifiedBy>槲寄生</cp:lastModifiedBy>
  <dcterms:modified xsi:type="dcterms:W3CDTF">2025-02-17T03:21:11Z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7119C1955DD046DA9C41F4A82A99C4F2_11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