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1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违反侵占、损毁或者擅自移动环保监测设施的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1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法律规定罚款幅度裁定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561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</w:p>
    <w:tbl>
      <w:tblPr>
        <w:tblStyle w:val="3"/>
        <w:tblW w:w="87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095"/>
        <w:gridCol w:w="1755"/>
        <w:gridCol w:w="885"/>
        <w:gridCol w:w="2385"/>
        <w:gridCol w:w="1320"/>
        <w:gridCol w:w="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  <w:t>裁量要素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  <w:t>判定标准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  <w:t>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要素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具体条件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构成比例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程度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百分值（X）</w:t>
            </w:r>
          </w:p>
        </w:tc>
        <w:tc>
          <w:tcPr>
            <w:tcW w:w="73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违法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事实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情节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违法行为类型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en-US" w:bidi="ar-SA"/>
              </w:rPr>
              <w:t>%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损毁、改变监测设施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en-US" w:bidi="ar-SA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en-US" w:bidi="ar-SA"/>
              </w:rPr>
              <w:t>X≤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en-US" w:bidi="ar-SA"/>
              </w:rPr>
              <w:t>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废气去向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en-US" w:bidi="ar-SA"/>
              </w:rPr>
              <w:t>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工业区和其它地区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1%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en-US" w:bidi="ar-SA"/>
              </w:rPr>
              <w:t>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X≤5%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废气类别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工业废气（含粉尘）、工地扬尘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两年内违法次数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1次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环境监管单位类别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非环境监管重点单位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5%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en-US" w:bidi="ar-SA"/>
              </w:rPr>
              <w:t>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X≤8%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整改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情况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是否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及时进行改正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全面整改并合规排放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社会影响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和生态破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坏程度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是否造成社会影响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生态破坏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轻微（1级）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1%≤X≤5%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经济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承受度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企业规模大小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　5%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小型企事业单位（涉公益单位）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-3%≤X＜0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-2%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地区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差异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经济社会发展程度及环境容量的大小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　5%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各地级市可以结合实际自行确定地区差异，裁量比例数值（加减5%）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-5%≤X≤5%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3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百分值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302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罚款金额</w:t>
            </w:r>
          </w:p>
        </w:tc>
        <w:tc>
          <w:tcPr>
            <w:tcW w:w="205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宋体" w:hAnsi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7.4万元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罚款金额=百分值之和×最高法定罚款上限20万元，罚款金额按“千”取整。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0806549-34D0-4C72-9A2E-25B0CD3FB34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97C1946-F21B-4F9D-8A2B-1B67B1DC69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3BF1C70-6963-465B-A852-574C9791EAB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OGZiZDY2YWNiNzA0MzMwNzM1MTJlMDI1NTI1ZWEifQ=="/>
  </w:docVars>
  <w:rsids>
    <w:rsidRoot w:val="66770B74"/>
    <w:rsid w:val="667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0"/>
      <w:lang w:val="zh-CN" w:bidi="zh-CN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2024-06-06T08:02:00Z</dcterms:created>
  <dc:creator>Administrator</dc:creator>
  <cp:lastModifiedBy>Administrator</cp:lastModifiedBy>
  <dcterms:modified xsi:type="dcterms:W3CDTF">2024-06-06T08:02:56Z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DB76BD0239DA438985DFC20E489C8FF9_11</vt:lpwstr>
  </property>
</Properties>
</file>