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D38C6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违反控制、减少粉尘和气态污染物排放制度的</w:t>
      </w:r>
    </w:p>
    <w:p w14:paraId="098552A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  <w:t>罚款幅度裁定</w:t>
      </w:r>
      <w:bookmarkEnd w:id="0"/>
    </w:p>
    <w:p w14:paraId="235F49F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exact"/>
        <w:ind w:right="561" w:firstLine="664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spacing w:val="6"/>
          <w:sz w:val="32"/>
          <w:szCs w:val="32"/>
          <w:lang w:val="en-US" w:eastAsia="zh-CN"/>
        </w:rPr>
      </w:pPr>
    </w:p>
    <w:tbl>
      <w:tblPr>
        <w:tblStyle w:val="3"/>
        <w:tblW w:w="8698" w:type="dxa"/>
        <w:jc w:val="center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07"/>
        <w:gridCol w:w="1020"/>
        <w:gridCol w:w="1800"/>
        <w:gridCol w:w="1020"/>
        <w:gridCol w:w="2100"/>
        <w:gridCol w:w="1470"/>
        <w:gridCol w:w="681"/>
      </w:tblGrid>
      <w:tr w14:paraId="5829FFA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6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F4C36A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序号</w:t>
            </w:r>
          </w:p>
        </w:tc>
        <w:tc>
          <w:tcPr>
            <w:tcW w:w="3840" w:type="dxa"/>
            <w:gridSpan w:val="3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131AEC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裁量要素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4B618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判定标准</w:t>
            </w:r>
          </w:p>
        </w:tc>
        <w:tc>
          <w:tcPr>
            <w:tcW w:w="681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4FE32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1"/>
                <w:szCs w:val="21"/>
              </w:rPr>
              <w:t>建议</w:t>
            </w:r>
          </w:p>
        </w:tc>
      </w:tr>
      <w:tr w14:paraId="6990D6E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8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578E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6C29A1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要素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C6133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具体条件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0B0F5C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构成比例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14A3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程度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54EFC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百分值（X）</w:t>
            </w:r>
          </w:p>
        </w:tc>
        <w:tc>
          <w:tcPr>
            <w:tcW w:w="681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43896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</w:tr>
      <w:tr w14:paraId="4D98090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0" w:hRule="atLeast"/>
          <w:jc w:val="center"/>
        </w:trPr>
        <w:tc>
          <w:tcPr>
            <w:tcW w:w="607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B66E0E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1</w:t>
            </w:r>
          </w:p>
        </w:tc>
        <w:tc>
          <w:tcPr>
            <w:tcW w:w="1020" w:type="dxa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A515FE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违法</w:t>
            </w:r>
          </w:p>
          <w:p w14:paraId="4C0C88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事实</w:t>
            </w:r>
          </w:p>
          <w:p w14:paraId="5B6ACB7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情节</w:t>
            </w:r>
          </w:p>
          <w:p w14:paraId="55D5C3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4CE4A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违法行为类型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CE35D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95CD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应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集中收集处理、密闭的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F71E50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025E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18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352F62A4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5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8369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54AE80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229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排污去向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09B02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7DC4F8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工业区和其他地区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765C6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885C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4A6892B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7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245E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745A23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3D7DE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废气类别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8A50E4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D80408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工业废气（含粉尘）、工地扬尘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291E3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3%≤X≤7%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2E7C1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0682054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4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88588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EF1D1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44FC75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违法行为持续时间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B460D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17E7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default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1个月以上不足3个月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E499E5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759B39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</w:tr>
      <w:tr w14:paraId="5E88BA6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2" w:hRule="atLeast"/>
          <w:jc w:val="center"/>
        </w:trPr>
        <w:tc>
          <w:tcPr>
            <w:tcW w:w="607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DCEDA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020" w:type="dxa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D118B7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01E4EA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两年内违反次数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6E66C1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628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1次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86121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92353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napToGrid w:val="0"/>
                <w:spacing w:val="0"/>
                <w:kern w:val="0"/>
                <w:position w:val="1"/>
                <w:sz w:val="21"/>
                <w:szCs w:val="21"/>
                <w:lang w:val="en-US" w:eastAsia="zh-CN"/>
              </w:rPr>
              <w:t>3%</w:t>
            </w:r>
          </w:p>
        </w:tc>
      </w:tr>
      <w:tr w14:paraId="2C29E65A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4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119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2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86509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整改情况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FDCFA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是否停止违法并进行改正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1EDC6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10%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1FF3BE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已停止违法，且进行完全改正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09B39D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B5DE0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3EE1255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9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2D34D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3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7B6443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社会影响和生态破坏程度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7A3E7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是否造成社会影响和生态破坏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9AAFC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20%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1C48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轻微（1级）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34BCF3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</w:rPr>
              <w:t>1%≤X≤5%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A03F9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0635250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7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3064E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4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BC2E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经济承受度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6B4A9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企业规模大小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8D979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A84159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ind w:left="105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eastAsia="zh-CN"/>
              </w:rPr>
              <w:t>小型企事业单位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5FF0E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%≤X＜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0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830720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44" w:line="0" w:lineRule="atLeast"/>
              <w:ind w:right="75" w:rightChars="0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%</w:t>
            </w:r>
          </w:p>
        </w:tc>
      </w:tr>
      <w:tr w14:paraId="27A54FF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49" w:hRule="atLeast"/>
          <w:jc w:val="center"/>
        </w:trPr>
        <w:tc>
          <w:tcPr>
            <w:tcW w:w="607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0EC802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bidi w:val="0"/>
              <w:spacing w:line="400" w:lineRule="exac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5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441DC4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地区</w:t>
            </w:r>
          </w:p>
          <w:p w14:paraId="13ADD5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1"/>
                <w:szCs w:val="21"/>
              </w:rPr>
              <w:t>差异</w:t>
            </w:r>
          </w:p>
        </w:tc>
        <w:tc>
          <w:tcPr>
            <w:tcW w:w="18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5C41D0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经济社会发展程度及环境容量的大小</w:t>
            </w:r>
          </w:p>
        </w:tc>
        <w:tc>
          <w:tcPr>
            <w:tcW w:w="102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FC2EA7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5%</w:t>
            </w:r>
          </w:p>
        </w:tc>
        <w:tc>
          <w:tcPr>
            <w:tcW w:w="210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3D20C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各地级市可以结合实际自行确定地区差异，裁量比例数值（加减 5%）</w:t>
            </w:r>
          </w:p>
        </w:tc>
        <w:tc>
          <w:tcPr>
            <w:tcW w:w="1470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338316D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kern w:val="0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1"/>
                <w:szCs w:val="21"/>
              </w:rPr>
              <w:t>－5%≤X≤5%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6AE45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1"/>
                <w:szCs w:val="21"/>
                <w:lang w:val="en-US" w:eastAsia="zh-CN"/>
              </w:rPr>
              <w:t>0</w:t>
            </w:r>
          </w:p>
        </w:tc>
      </w:tr>
      <w:tr w14:paraId="518965DE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72" w:hRule="atLeast"/>
          <w:jc w:val="center"/>
        </w:trPr>
        <w:tc>
          <w:tcPr>
            <w:tcW w:w="4447" w:type="dxa"/>
            <w:gridSpan w:val="4"/>
            <w:vMerge w:val="restart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19EE3C3A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合计</w:t>
            </w: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9258114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z w:val="21"/>
                <w:szCs w:val="21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百分值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25E688DF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val="en-US" w:eastAsia="zh-CN"/>
              </w:rPr>
              <w:t>34</w:t>
            </w: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  <w:t>%</w:t>
            </w:r>
          </w:p>
        </w:tc>
      </w:tr>
      <w:tr w14:paraId="0D14E329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9" w:hRule="atLeast"/>
          <w:jc w:val="center"/>
        </w:trPr>
        <w:tc>
          <w:tcPr>
            <w:tcW w:w="4447" w:type="dxa"/>
            <w:gridSpan w:val="4"/>
            <w:vMerge w:val="continue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E947625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b/>
                <w:sz w:val="21"/>
                <w:szCs w:val="21"/>
              </w:rPr>
            </w:pPr>
          </w:p>
        </w:tc>
        <w:tc>
          <w:tcPr>
            <w:tcW w:w="3570" w:type="dxa"/>
            <w:gridSpan w:val="2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760B0158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  <w:lang w:eastAsia="zh-CN"/>
              </w:rPr>
              <w:t>罚款金额</w:t>
            </w:r>
          </w:p>
        </w:tc>
        <w:tc>
          <w:tcPr>
            <w:tcW w:w="681" w:type="dxa"/>
            <w:tcBorders>
              <w:tl2br w:val="nil"/>
              <w:tr2bl w:val="nil"/>
            </w:tcBorders>
            <w:shd w:val="clear" w:color="auto" w:fill="FFFFFF"/>
            <w:noWrap w:val="0"/>
            <w:vAlign w:val="center"/>
          </w:tcPr>
          <w:p w14:paraId="64706A51">
            <w:pPr>
              <w:pStyle w:val="5"/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宋体" w:hAnsi="宋体" w:eastAsia="宋体" w:cs="宋体"/>
                <w:spacing w:val="-2"/>
                <w:position w:val="1"/>
                <w:sz w:val="21"/>
                <w:szCs w:val="21"/>
              </w:rPr>
            </w:pPr>
            <w:r>
              <w:rPr>
                <w:rFonts w:hint="eastAsia" w:ascii="宋体" w:hAnsi="宋体" w:cs="宋体"/>
                <w:spacing w:val="-2"/>
                <w:position w:val="1"/>
                <w:sz w:val="21"/>
                <w:szCs w:val="21"/>
                <w:lang w:val="en-US" w:eastAsia="zh-CN"/>
              </w:rPr>
              <w:t>6.8万元</w:t>
            </w:r>
          </w:p>
        </w:tc>
      </w:tr>
    </w:tbl>
    <w:p w14:paraId="42074BE1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28B063B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080B0F2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罚款金额=百分值之和×最高法定罚款上限20万元，罚款金额按“千”取整，不得低于法定限额。</w:t>
      </w:r>
    </w:p>
    <w:p w14:paraId="657EDA4B"/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9DBF4497-CFD5-46C9-8CD5-C4F8C878637F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348416D0-D38E-46C3-AC1D-F3C4F511CDE5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AD509F54-0110-411D-9416-1712E36E0B17}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1C214D"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517415"/>
    <w:rsid w:val="1D5174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5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2025-02-28T02:59:00Z</dcterms:created>
  <dc:creator>Seven七。</dc:creator>
  <cp:lastModifiedBy>Seven七。</cp:lastModifiedBy>
  <dcterms:modified xsi:type="dcterms:W3CDTF">2025-02-28T03:00:10Z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3A66F057F46C43F9BC51CEDCB6538E93_11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