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8B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  <w:t>违反控制、减少粉尘和气态污染物排放制度的</w:t>
      </w:r>
    </w:p>
    <w:p w14:paraId="6B067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  <w:t>罚款幅度裁定</w:t>
      </w:r>
    </w:p>
    <w:bookmarkEnd w:id="0"/>
    <w:p w14:paraId="66A5E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</w:p>
    <w:tbl>
      <w:tblPr>
        <w:tblStyle w:val="2"/>
        <w:tblW w:w="86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020"/>
        <w:gridCol w:w="1800"/>
        <w:gridCol w:w="1020"/>
        <w:gridCol w:w="2100"/>
        <w:gridCol w:w="1470"/>
        <w:gridCol w:w="681"/>
      </w:tblGrid>
      <w:tr w14:paraId="687B58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60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DF8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序号</w:t>
            </w:r>
          </w:p>
        </w:tc>
        <w:tc>
          <w:tcPr>
            <w:tcW w:w="3840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D23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裁量要素</w:t>
            </w:r>
          </w:p>
        </w:tc>
        <w:tc>
          <w:tcPr>
            <w:tcW w:w="357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FFC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判定标准</w:t>
            </w:r>
          </w:p>
        </w:tc>
        <w:tc>
          <w:tcPr>
            <w:tcW w:w="681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866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建议</w:t>
            </w:r>
          </w:p>
        </w:tc>
      </w:tr>
      <w:tr w14:paraId="1A983C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98D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A6E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要素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26EB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具体条件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F02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构成比例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CF5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程度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A6B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百分值（X）</w:t>
            </w:r>
          </w:p>
        </w:tc>
        <w:tc>
          <w:tcPr>
            <w:tcW w:w="68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D69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</w:tr>
      <w:tr w14:paraId="40534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60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682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1</w:t>
            </w:r>
          </w:p>
        </w:tc>
        <w:tc>
          <w:tcPr>
            <w:tcW w:w="1020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B09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违法</w:t>
            </w:r>
          </w:p>
          <w:p w14:paraId="5C9176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事实</w:t>
            </w:r>
          </w:p>
          <w:p w14:paraId="56232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情节</w:t>
            </w:r>
          </w:p>
          <w:p w14:paraId="6B891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C5D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违法行为类型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CB8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B2A0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应集中收集处理、密闭的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019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%＜X≤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0028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23A6F2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7AD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5ED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2B5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排污去向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2C5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B29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工业区和其他地区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F2C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1%≤X≤5%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F40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2CC74B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51E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21C5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57A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废气类别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546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331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工业废气（含粉尘）、工地扬尘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F601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3%≤X≤7%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141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4B8FD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BFE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33A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331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违法行为持续时间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FDB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9DF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3个月以上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194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B91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103168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BA6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6ED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3BED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两年内违反次数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936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251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2次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F3B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8E2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7BBB3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0C8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2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F21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整改情况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5CE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是否停止违法并进行改正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9F4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974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已停止违法，且进行完全改正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01F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5F4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40ED0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D9F9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3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DDB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社会影响和生态破坏程度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5903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是否造成社会影响和生态破坏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B8D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929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轻微（1级）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FB6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1%≤X≤5%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459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20A15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0A3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4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460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经济承受度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4A5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企业规模大小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A7B3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FBC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小型企事业单位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88D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%≤X＜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E1C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 w:rightChars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</w:tr>
      <w:tr w14:paraId="4F2F0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1108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5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D79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地区</w:t>
            </w:r>
          </w:p>
          <w:p w14:paraId="013A5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差异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8266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经济社会发展程度及环境容量的大小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9DD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C8C9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各地级市可以结合实际自行确定地区差异，裁量比例数值（加减 5%）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3BF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－5%≤X≤5%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CC6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493E7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4447" w:type="dxa"/>
            <w:gridSpan w:val="4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73205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  <w:t>合计</w:t>
            </w:r>
          </w:p>
        </w:tc>
        <w:tc>
          <w:tcPr>
            <w:tcW w:w="357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5A00E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  <w:t>百分值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96BF9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val="en-US" w:eastAsia="zh-CN"/>
              </w:rPr>
              <w:t>39</w:t>
            </w: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  <w:t>%</w:t>
            </w:r>
          </w:p>
        </w:tc>
      </w:tr>
      <w:tr w14:paraId="617D94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4447" w:type="dxa"/>
            <w:gridSpan w:val="4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1DFE9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357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B6F7C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  <w:t>罚款金额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5D27B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"/>
                <w:position w:val="1"/>
                <w:sz w:val="21"/>
                <w:szCs w:val="21"/>
                <w:lang w:val="en-US" w:eastAsia="zh-CN"/>
              </w:rPr>
              <w:t>7.8万元</w:t>
            </w:r>
          </w:p>
        </w:tc>
      </w:tr>
    </w:tbl>
    <w:p w14:paraId="24B2158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 w14:paraId="58759AA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计算方法：</w:t>
      </w:r>
    </w:p>
    <w:p w14:paraId="2CE66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罚款金额=百分值之和×最高法定罚款上限20万元，罚款金额按“千”取整，不得低于法定限额。</w:t>
      </w:r>
    </w:p>
    <w:p w14:paraId="7C748B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04508"/>
    <w:rsid w:val="0E20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2025-07-04T03:47:00Z</dcterms:created>
  <dc:creator>Seven七。</dc:creator>
  <cp:lastModifiedBy>Seven七。</cp:lastModifiedBy>
  <dcterms:modified xsi:type="dcterms:W3CDTF">2025-07-04T03:47:22Z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B22A29AD2DA44E339FCE78A2435C383C_11</vt:lpwstr>
  </property>
  <property fmtid="{D5CDD505-2E9C-101B-9397-08002B2CF9AE}" pid="4" name="KSOTemplateDocerSaveRecord">
    <vt:lpwstr>eyJoZGlkIjoiZTA3OGZiZDY2YWNiNzA0MzMwNzM1MTJlMDI1NTI1ZWEiLCJ1c2VySWQiOiIxMzQyODQxMjEwIn0=</vt:lpwstr>
  </property>
</Properties>
</file>