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44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未采取防范措施造成工业固体废物环境污染</w:t>
      </w:r>
    </w:p>
    <w:p w14:paraId="019AE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的罚款幅度裁定</w:t>
      </w:r>
    </w:p>
    <w:bookmarkEnd w:id="0"/>
    <w:p w14:paraId="1639C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561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tbl>
      <w:tblPr>
        <w:tblStyle w:val="3"/>
        <w:tblW w:w="87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95"/>
        <w:gridCol w:w="1755"/>
        <w:gridCol w:w="885"/>
        <w:gridCol w:w="2385"/>
        <w:gridCol w:w="1320"/>
        <w:gridCol w:w="731"/>
      </w:tblGrid>
      <w:tr w14:paraId="0B31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9D4A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序号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B07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裁量要素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153A6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判定标准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7FBBED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建议</w:t>
            </w:r>
          </w:p>
        </w:tc>
      </w:tr>
      <w:tr w14:paraId="29374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C20D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665E4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要素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D6C99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具体条件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223C1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构成比例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567074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程度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6A06D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百分值（X）</w:t>
            </w:r>
          </w:p>
        </w:tc>
        <w:tc>
          <w:tcPr>
            <w:tcW w:w="73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6FAB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</w:tr>
      <w:tr w14:paraId="08B47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3483C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07C2B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违法</w:t>
            </w:r>
          </w:p>
          <w:p w14:paraId="5902C68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事实</w:t>
            </w:r>
          </w:p>
          <w:p w14:paraId="6DE5CF19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情节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DAECEA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违法地点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2DACC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3FAF1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生态保护红线、永久基本农田集中区域等需要特别保护的区域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52838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X≤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FF32C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18%</w:t>
            </w:r>
          </w:p>
        </w:tc>
      </w:tr>
      <w:tr w14:paraId="4C3D4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1172F5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2587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BA8CAD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违法行为涉及量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4DDA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977B4">
            <w:pPr>
              <w:autoSpaceDE w:val="0"/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200吨以上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703BE3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X≤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BAC7B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18%</w:t>
            </w:r>
          </w:p>
        </w:tc>
      </w:tr>
      <w:tr w14:paraId="07427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4B529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73D6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80CC46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固体废物类别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D8E196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3B112">
            <w:pPr>
              <w:autoSpaceDE w:val="0"/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工业固体废物（一类）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78BB55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%≤X≤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0169C">
            <w:pPr>
              <w:autoSpaceDE w:val="0"/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5%</w:t>
            </w:r>
          </w:p>
        </w:tc>
      </w:tr>
      <w:tr w14:paraId="66D68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3E6C4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64E5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76D476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两年内违法次数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497FD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961E9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1次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F13D3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4C3F17">
            <w:pPr>
              <w:autoSpaceDE w:val="0"/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3%</w:t>
            </w:r>
          </w:p>
        </w:tc>
      </w:tr>
      <w:tr w14:paraId="382A4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B669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32ED22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整改</w:t>
            </w:r>
          </w:p>
          <w:p w14:paraId="4C7D78D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情况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2DBE8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是否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积极采取整改措施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F49FE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A86CB5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积极采取整改措施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CADB3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FCBD4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1A53D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9F1C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2335C4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社会影响</w:t>
            </w:r>
          </w:p>
          <w:p w14:paraId="684AA04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和生态破</w:t>
            </w:r>
          </w:p>
          <w:p w14:paraId="77E5B70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坏程度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D2534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是否造成社会影响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生态破坏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DBC4E8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B153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轻微（1级）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D23C1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D2E8D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08BD7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2E77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4DD2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经济</w:t>
            </w:r>
          </w:p>
          <w:p w14:paraId="3A1953E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承受度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CF3A8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企业规模大小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DD4127">
            <w:pPr>
              <w:autoSpaceDE w:val="0"/>
              <w:autoSpaceDN w:val="0"/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　5%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773BB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小型企事业单位（涉公益单位）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B474FB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-3%≤X＜0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198FE0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-2%</w:t>
            </w:r>
          </w:p>
        </w:tc>
      </w:tr>
      <w:tr w14:paraId="77753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E9F1F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183DC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地区</w:t>
            </w:r>
          </w:p>
          <w:p w14:paraId="265AD2E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差异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89EF55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经济社会发展程度及环境容量的大小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9271B">
            <w:pPr>
              <w:autoSpaceDE w:val="0"/>
              <w:autoSpaceDN w:val="0"/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　5%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E8076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各地级市可以结合实际自行确定地区差异，裁量比例数值（加减5%）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6B8F6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-5%≤X≤5%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38ABB7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6E0F2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A87AC8">
            <w:pPr>
              <w:pStyle w:val="7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9F106E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百分值</w:t>
            </w: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C871DB">
            <w:pPr>
              <w:widowControl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42%</w:t>
            </w:r>
          </w:p>
        </w:tc>
      </w:tr>
      <w:tr w14:paraId="1E219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30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E4622C">
            <w:pPr>
              <w:pStyle w:val="7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2385" w:type="dxa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2857A3">
            <w:pPr>
              <w:pStyle w:val="7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罚款金额</w:t>
            </w:r>
          </w:p>
        </w:tc>
        <w:tc>
          <w:tcPr>
            <w:tcW w:w="205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1D39C2">
            <w:pPr>
              <w:pStyle w:val="7"/>
              <w:jc w:val="center"/>
              <w:rPr>
                <w:rFonts w:hint="default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20万元</w:t>
            </w:r>
          </w:p>
        </w:tc>
      </w:tr>
    </w:tbl>
    <w:p w14:paraId="4A400B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2AB61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罚款金额=所需处置费用×（100%～300%）；罚款金额按“千”取整，不得低于法定限额，所需处置费用不足十万元的，按十万元计算。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3082"/>
      </w:tblGrid>
      <w:tr w14:paraId="6C58B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noWrap w:val="0"/>
            <w:vAlign w:val="top"/>
          </w:tcPr>
          <w:p w14:paraId="2E29F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总百分值</w:t>
            </w:r>
          </w:p>
        </w:tc>
        <w:tc>
          <w:tcPr>
            <w:tcW w:w="3082" w:type="dxa"/>
            <w:noWrap w:val="0"/>
            <w:vAlign w:val="top"/>
          </w:tcPr>
          <w:p w14:paraId="3402C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罚款金额</w:t>
            </w:r>
          </w:p>
        </w:tc>
      </w:tr>
      <w:tr w14:paraId="06687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noWrap w:val="0"/>
            <w:vAlign w:val="top"/>
          </w:tcPr>
          <w:p w14:paraId="7E574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百分值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≤30%</w:t>
            </w:r>
          </w:p>
        </w:tc>
        <w:tc>
          <w:tcPr>
            <w:tcW w:w="3082" w:type="dxa"/>
            <w:noWrap w:val="0"/>
            <w:vAlign w:val="top"/>
          </w:tcPr>
          <w:p w14:paraId="7A3BE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所需处置费用×100%</w:t>
            </w:r>
          </w:p>
        </w:tc>
      </w:tr>
      <w:tr w14:paraId="42204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noWrap w:val="0"/>
            <w:vAlign w:val="top"/>
          </w:tcPr>
          <w:p w14:paraId="34E74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30%＜百分值≤70%</w:t>
            </w:r>
          </w:p>
        </w:tc>
        <w:tc>
          <w:tcPr>
            <w:tcW w:w="3082" w:type="dxa"/>
            <w:noWrap w:val="0"/>
            <w:vAlign w:val="top"/>
          </w:tcPr>
          <w:p w14:paraId="42391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所需处置费用×200%</w:t>
            </w:r>
          </w:p>
        </w:tc>
      </w:tr>
      <w:tr w14:paraId="429D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4" w:type="dxa"/>
            <w:noWrap w:val="0"/>
            <w:vAlign w:val="top"/>
          </w:tcPr>
          <w:p w14:paraId="20307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70%＜百分值≤100%</w:t>
            </w:r>
          </w:p>
        </w:tc>
        <w:tc>
          <w:tcPr>
            <w:tcW w:w="3082" w:type="dxa"/>
            <w:noWrap w:val="0"/>
            <w:vAlign w:val="top"/>
          </w:tcPr>
          <w:p w14:paraId="333FF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-SA"/>
              </w:rPr>
              <w:t>所需处置费用×300%</w:t>
            </w:r>
          </w:p>
        </w:tc>
      </w:tr>
    </w:tbl>
    <w:p w14:paraId="64FBA314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CE6E1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B0EB2"/>
    <w:rsid w:val="342B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0"/>
      <w:lang w:val="zh-CN" w:bidi="zh-CN"/>
    </w:r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2025-08-14T03:06:00Z</dcterms:created>
  <dc:creator>Seven七。</dc:creator>
  <cp:lastModifiedBy>Seven七。</cp:lastModifiedBy>
  <dcterms:modified xsi:type="dcterms:W3CDTF">2025-08-14T03:07:29Z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6F22EDA8211E43FBAA92C7432FCA3C1D_11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