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1" w:firstLine="664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违反控制、减少粉尘和气态污染物排放制度的</w:t>
      </w:r>
    </w:p>
    <w:p w14:paraId="25CD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1" w:firstLine="664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罚款幅度裁定</w:t>
      </w:r>
    </w:p>
    <w:bookmarkEnd w:id="0"/>
    <w:p w14:paraId="016C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561" w:firstLine="664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</w:p>
    <w:tbl>
      <w:tblPr>
        <w:tblStyle w:val="3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020"/>
        <w:gridCol w:w="1800"/>
        <w:gridCol w:w="1020"/>
        <w:gridCol w:w="2100"/>
        <w:gridCol w:w="1470"/>
        <w:gridCol w:w="681"/>
      </w:tblGrid>
      <w:tr w14:paraId="52073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0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7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384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4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  <w:t>裁量要素</w:t>
            </w:r>
          </w:p>
        </w:tc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79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  <w:t>判定标准</w:t>
            </w:r>
          </w:p>
        </w:tc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977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  <w:t>建议</w:t>
            </w:r>
          </w:p>
        </w:tc>
      </w:tr>
      <w:tr w14:paraId="547F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3B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B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要素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25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具体条件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86C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构成比例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F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程度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9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百分值（X）</w:t>
            </w:r>
          </w:p>
        </w:tc>
        <w:tc>
          <w:tcPr>
            <w:tcW w:w="68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7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</w:tr>
      <w:tr w14:paraId="29612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0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3F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5A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违法</w:t>
            </w:r>
          </w:p>
          <w:p w14:paraId="63C6F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事实</w:t>
            </w:r>
          </w:p>
          <w:p w14:paraId="131D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情节</w:t>
            </w:r>
          </w:p>
          <w:p w14:paraId="7B40F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0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违法行为类型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2A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78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应围挡、遮盖的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D9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%＜X≤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42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1BDF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1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51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7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排污去向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BBD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A7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工业区和其他地区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C5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1%≤X≤5%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08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72A69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7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C5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A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废气类别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5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F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工业废气（含粉尘）、工地扬尘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C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3%≤X≤7%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B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04F6C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02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A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违法行为持续时间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7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8A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不足1个月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C8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3%≤X≤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0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6EAE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0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0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A65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两年内违反次数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3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4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0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2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position w:val="1"/>
                <w:sz w:val="21"/>
                <w:szCs w:val="21"/>
                <w:lang w:val="en-US" w:eastAsia="zh-CN"/>
              </w:rPr>
              <w:t>5%</w:t>
            </w:r>
          </w:p>
        </w:tc>
      </w:tr>
      <w:tr w14:paraId="75839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6A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7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整改情况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CD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是否停止违法并进行改正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D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E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已停止违法，且进行完全改正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E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65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</w:tr>
      <w:tr w14:paraId="2EF28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3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2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社会影响和生态破坏程度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BA5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是否造成社会影响和生态破坏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F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B6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轻微（1级）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B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1%≤X≤5%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9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</w:tr>
      <w:tr w14:paraId="4A3C8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1A9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5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经济承受度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E4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企业规模大小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4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小型企事业单位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FF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%≤X＜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84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06194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0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D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地区</w:t>
            </w:r>
          </w:p>
          <w:p w14:paraId="3B1B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差异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2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经济社会发展程度及环境容量的大小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F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2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各地级市可以结合实际自行确定地区差异，裁量比例数值（加减 5%）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3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－5%≤X≤5%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0B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</w:tr>
      <w:tr w14:paraId="46237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447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0BE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合计</w:t>
            </w:r>
          </w:p>
        </w:tc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0A3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magent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  <w:t>百分值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CFFF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%</w:t>
            </w:r>
          </w:p>
        </w:tc>
      </w:tr>
      <w:tr w14:paraId="43C05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447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1C1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69F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  <w:t>罚款金额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5E2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position w:val="1"/>
                <w:sz w:val="21"/>
                <w:szCs w:val="21"/>
                <w:lang w:val="en-US" w:eastAsia="zh-CN"/>
              </w:rPr>
              <w:t>5.6万</w:t>
            </w:r>
          </w:p>
        </w:tc>
      </w:tr>
    </w:tbl>
    <w:p w14:paraId="253271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830F9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计算方法：</w:t>
      </w:r>
    </w:p>
    <w:p w14:paraId="7455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罚款金额=百分值之和×最高法定罚款上限20万元，罚款金额按“千”取整，不得低于法定限额。</w:t>
      </w:r>
    </w:p>
    <w:p w14:paraId="4AD1B291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719E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6DB2"/>
    <w:rsid w:val="380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2025-10-24T09:36:00Z</dcterms:created>
  <dc:creator>正道沧桑</dc:creator>
  <cp:lastModifiedBy>正道沧桑</cp:lastModifiedBy>
  <dcterms:modified xsi:type="dcterms:W3CDTF">2025-10-24T09:36:42Z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0FB6245BC9814B09BEA83D0052A50556_11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